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A41B3" w14:textId="4C9AC676" w:rsidR="00CB22A2" w:rsidRPr="00EC24EF" w:rsidRDefault="00EE3FF7" w:rsidP="00DA7135">
      <w:pPr>
        <w:spacing w:line="247" w:lineRule="auto"/>
        <w:rPr>
          <w:rFonts w:ascii="Arial" w:hAnsi="Arial" w:cs="Arial"/>
          <w:b/>
          <w:sz w:val="28"/>
          <w:szCs w:val="28"/>
        </w:rPr>
      </w:pPr>
      <w:r w:rsidRPr="00EC24EF">
        <w:rPr>
          <w:rFonts w:ascii="Arial" w:hAnsi="Arial" w:cs="Arial"/>
          <w:b/>
          <w:sz w:val="28"/>
          <w:szCs w:val="28"/>
        </w:rPr>
        <w:t>WFE Statistics Definitions Manual</w:t>
      </w:r>
      <w:r w:rsidR="00913AC6" w:rsidRPr="00EC24EF">
        <w:rPr>
          <w:rFonts w:ascii="Arial" w:hAnsi="Arial" w:cs="Arial"/>
          <w:b/>
          <w:sz w:val="28"/>
          <w:szCs w:val="28"/>
        </w:rPr>
        <w:t xml:space="preserve"> (Revised July 2019)</w:t>
      </w:r>
    </w:p>
    <w:p w14:paraId="720F662F" w14:textId="14F5567B" w:rsidR="00E52E96" w:rsidRDefault="00E52E96" w:rsidP="00DA7135">
      <w:pPr>
        <w:suppressAutoHyphens/>
        <w:spacing w:line="247" w:lineRule="auto"/>
        <w:jc w:val="both"/>
        <w:rPr>
          <w:rFonts w:ascii="Arial" w:hAnsi="Arial" w:cs="Arial"/>
          <w:spacing w:val="-3"/>
          <w:sz w:val="20"/>
        </w:rPr>
      </w:pPr>
      <w:r w:rsidRPr="00490F9F">
        <w:rPr>
          <w:rFonts w:ascii="Arial" w:hAnsi="Arial" w:cs="Arial"/>
          <w:spacing w:val="-3"/>
          <w:sz w:val="20"/>
        </w:rPr>
        <w:t xml:space="preserve">The </w:t>
      </w:r>
      <w:r>
        <w:rPr>
          <w:rFonts w:ascii="Arial" w:hAnsi="Arial" w:cs="Arial"/>
          <w:spacing w:val="-3"/>
          <w:sz w:val="20"/>
        </w:rPr>
        <w:t>World Federation of Exchanges’</w:t>
      </w:r>
      <w:r w:rsidRPr="00490F9F">
        <w:rPr>
          <w:rFonts w:ascii="Arial" w:hAnsi="Arial" w:cs="Arial"/>
          <w:spacing w:val="-3"/>
          <w:sz w:val="20"/>
        </w:rPr>
        <w:t xml:space="preserve"> member exchanges have reached general agreement on the following statistical </w:t>
      </w:r>
      <w:r>
        <w:rPr>
          <w:rFonts w:ascii="Arial" w:hAnsi="Arial" w:cs="Arial"/>
          <w:spacing w:val="-3"/>
          <w:sz w:val="20"/>
        </w:rPr>
        <w:t>definitions. The WFE encourages all reporting exchanges</w:t>
      </w:r>
      <w:r w:rsidR="00876FFF">
        <w:rPr>
          <w:rFonts w:ascii="Arial" w:hAnsi="Arial" w:cs="Arial"/>
          <w:spacing w:val="-3"/>
          <w:sz w:val="20"/>
        </w:rPr>
        <w:t xml:space="preserve"> (which includes WFE members, affiliates and non-members)</w:t>
      </w:r>
      <w:r>
        <w:rPr>
          <w:rFonts w:ascii="Arial" w:hAnsi="Arial" w:cs="Arial"/>
          <w:spacing w:val="-3"/>
          <w:sz w:val="20"/>
        </w:rPr>
        <w:t xml:space="preserve"> to comply with these definitions to ensure comparability and consistency. Where we are aware </w:t>
      </w:r>
      <w:r w:rsidR="00DD7D90">
        <w:rPr>
          <w:rFonts w:ascii="Arial" w:hAnsi="Arial" w:cs="Arial"/>
          <w:spacing w:val="-3"/>
          <w:sz w:val="20"/>
        </w:rPr>
        <w:t xml:space="preserve">of </w:t>
      </w:r>
      <w:r>
        <w:rPr>
          <w:rFonts w:ascii="Arial" w:hAnsi="Arial" w:cs="Arial"/>
          <w:spacing w:val="-3"/>
          <w:sz w:val="20"/>
        </w:rPr>
        <w:t xml:space="preserve">exceptions, we note this in </w:t>
      </w:r>
      <w:r w:rsidR="00876FFF">
        <w:rPr>
          <w:rFonts w:ascii="Arial" w:hAnsi="Arial" w:cs="Arial"/>
          <w:spacing w:val="-3"/>
          <w:sz w:val="20"/>
        </w:rPr>
        <w:t>this document or in footnotes in the WFE statistics database</w:t>
      </w:r>
      <w:r>
        <w:rPr>
          <w:rFonts w:ascii="Arial" w:hAnsi="Arial" w:cs="Arial"/>
          <w:spacing w:val="-3"/>
          <w:sz w:val="20"/>
        </w:rPr>
        <w:t>.</w:t>
      </w:r>
    </w:p>
    <w:p w14:paraId="23035C0A" w14:textId="34AF3450" w:rsidR="00DF2E33" w:rsidRPr="00E52E96" w:rsidRDefault="005C3A1A" w:rsidP="00DA7135">
      <w:pPr>
        <w:suppressAutoHyphens/>
        <w:spacing w:line="247" w:lineRule="auto"/>
        <w:jc w:val="both"/>
        <w:rPr>
          <w:rFonts w:ascii="Arial" w:hAnsi="Arial" w:cs="Arial"/>
          <w:spacing w:val="-3"/>
          <w:sz w:val="20"/>
        </w:rPr>
      </w:pPr>
      <w:r>
        <w:rPr>
          <w:rFonts w:ascii="Arial" w:hAnsi="Arial" w:cs="Arial"/>
          <w:spacing w:val="-3"/>
          <w:sz w:val="20"/>
        </w:rPr>
        <w:t>WFE data goes back many years and in that time, the reporting entity may have changed</w:t>
      </w:r>
      <w:r w:rsidR="00F73D1B">
        <w:rPr>
          <w:rFonts w:ascii="Arial" w:hAnsi="Arial" w:cs="Arial"/>
          <w:spacing w:val="-3"/>
          <w:sz w:val="20"/>
        </w:rPr>
        <w:t xml:space="preserve"> as a result of mergers/acquisitions or other activity</w:t>
      </w:r>
      <w:r>
        <w:rPr>
          <w:rFonts w:ascii="Arial" w:hAnsi="Arial" w:cs="Arial"/>
          <w:spacing w:val="-3"/>
          <w:sz w:val="20"/>
        </w:rPr>
        <w:t xml:space="preserve">. </w:t>
      </w:r>
      <w:r w:rsidR="00F73D1B">
        <w:rPr>
          <w:rFonts w:ascii="Arial" w:hAnsi="Arial" w:cs="Arial"/>
          <w:spacing w:val="-3"/>
          <w:sz w:val="20"/>
        </w:rPr>
        <w:t>We present an overview of exchange groupings in</w:t>
      </w:r>
      <w:r w:rsidR="004C2E40">
        <w:rPr>
          <w:rFonts w:ascii="Arial" w:hAnsi="Arial" w:cs="Arial"/>
          <w:spacing w:val="-3"/>
          <w:sz w:val="20"/>
        </w:rPr>
        <w:t xml:space="preserve"> </w:t>
      </w:r>
      <w:r w:rsidR="004C2E40" w:rsidRPr="00267993">
        <w:rPr>
          <w:rFonts w:ascii="Arial" w:hAnsi="Arial" w:cs="Arial"/>
          <w:color w:val="002060"/>
          <w:spacing w:val="-3"/>
          <w:sz w:val="20"/>
          <w:szCs w:val="20"/>
          <w:u w:val="single"/>
        </w:rPr>
        <w:fldChar w:fldCharType="begin"/>
      </w:r>
      <w:r w:rsidR="004C2E40" w:rsidRPr="00267993">
        <w:rPr>
          <w:rFonts w:ascii="Arial" w:hAnsi="Arial" w:cs="Arial"/>
          <w:color w:val="002060"/>
          <w:spacing w:val="-3"/>
          <w:sz w:val="20"/>
          <w:szCs w:val="20"/>
          <w:u w:val="single"/>
        </w:rPr>
        <w:instrText xml:space="preserve"> REF _Ref15477967 \h </w:instrText>
      </w:r>
      <w:r w:rsidR="00267993" w:rsidRPr="00267993">
        <w:rPr>
          <w:rFonts w:ascii="Arial" w:hAnsi="Arial" w:cs="Arial"/>
          <w:color w:val="002060"/>
          <w:spacing w:val="-3"/>
          <w:sz w:val="20"/>
          <w:szCs w:val="20"/>
          <w:u w:val="single"/>
        </w:rPr>
        <w:instrText xml:space="preserve"> \* MERGEFORMAT </w:instrText>
      </w:r>
      <w:r w:rsidR="004C2E40" w:rsidRPr="00267993">
        <w:rPr>
          <w:rFonts w:ascii="Arial" w:hAnsi="Arial" w:cs="Arial"/>
          <w:color w:val="002060"/>
          <w:spacing w:val="-3"/>
          <w:sz w:val="20"/>
          <w:szCs w:val="20"/>
          <w:u w:val="single"/>
        </w:rPr>
      </w:r>
      <w:r w:rsidR="004C2E40" w:rsidRPr="0026799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Appendix 3: Note on exchange groupings</w:t>
      </w:r>
      <w:r w:rsidR="004C2E40" w:rsidRPr="00267993">
        <w:rPr>
          <w:rFonts w:ascii="Arial" w:hAnsi="Arial" w:cs="Arial"/>
          <w:color w:val="002060"/>
          <w:spacing w:val="-3"/>
          <w:sz w:val="20"/>
          <w:szCs w:val="20"/>
          <w:u w:val="single"/>
        </w:rPr>
        <w:fldChar w:fldCharType="end"/>
      </w:r>
      <w:r w:rsidR="00F73D1B">
        <w:rPr>
          <w:rFonts w:ascii="Arial" w:hAnsi="Arial" w:cs="Arial"/>
          <w:spacing w:val="-3"/>
          <w:sz w:val="20"/>
        </w:rPr>
        <w:t>.</w:t>
      </w:r>
    </w:p>
    <w:p w14:paraId="29173171" w14:textId="119DE964" w:rsidR="00EE3FF7" w:rsidRPr="00D56B44" w:rsidRDefault="00EE3FF7" w:rsidP="00DA7135">
      <w:pPr>
        <w:spacing w:line="247" w:lineRule="auto"/>
        <w:rPr>
          <w:rFonts w:ascii="Arial" w:hAnsi="Arial" w:cs="Arial"/>
          <w:sz w:val="20"/>
          <w:szCs w:val="20"/>
        </w:rPr>
      </w:pPr>
      <w:r w:rsidRPr="00D56B44">
        <w:rPr>
          <w:rFonts w:ascii="Arial" w:hAnsi="Arial" w:cs="Arial"/>
          <w:sz w:val="20"/>
          <w:szCs w:val="20"/>
        </w:rPr>
        <w:t>WFE data is presented according to the following hierarchy:</w:t>
      </w:r>
    </w:p>
    <w:p w14:paraId="79D0857A" w14:textId="69A4B3D7" w:rsidR="00EE3FF7" w:rsidRPr="009D1499" w:rsidRDefault="00EE3FF7" w:rsidP="00DA7135">
      <w:pPr>
        <w:spacing w:line="247" w:lineRule="auto"/>
        <w:rPr>
          <w:rFonts w:ascii="Arial" w:hAnsi="Arial" w:cs="Arial"/>
          <w:b/>
          <w:bCs/>
          <w:sz w:val="20"/>
          <w:szCs w:val="20"/>
        </w:rPr>
      </w:pPr>
      <w:r w:rsidRPr="009D1499">
        <w:rPr>
          <w:rFonts w:ascii="Arial" w:hAnsi="Arial" w:cs="Arial"/>
          <w:b/>
          <w:bCs/>
          <w:sz w:val="20"/>
          <w:szCs w:val="20"/>
        </w:rPr>
        <w:t>Asset class – Product – Indicator</w:t>
      </w:r>
    </w:p>
    <w:p w14:paraId="6E943C29" w14:textId="091BE97C" w:rsidR="000D4515" w:rsidRPr="00D56B44" w:rsidRDefault="000D4515" w:rsidP="00DA7135">
      <w:pPr>
        <w:spacing w:line="247" w:lineRule="auto"/>
        <w:rPr>
          <w:rFonts w:ascii="Arial" w:hAnsi="Arial" w:cs="Arial"/>
          <w:sz w:val="20"/>
          <w:szCs w:val="20"/>
        </w:rPr>
      </w:pPr>
      <w:r>
        <w:rPr>
          <w:rFonts w:ascii="Arial" w:hAnsi="Arial" w:cs="Arial"/>
          <w:sz w:val="20"/>
          <w:szCs w:val="20"/>
        </w:rPr>
        <w:t xml:space="preserve">The following tables set out the </w:t>
      </w:r>
      <w:r w:rsidR="00835DF8">
        <w:rPr>
          <w:rFonts w:ascii="Arial" w:hAnsi="Arial" w:cs="Arial"/>
          <w:sz w:val="20"/>
          <w:szCs w:val="20"/>
        </w:rPr>
        <w:t xml:space="preserve">indicators </w:t>
      </w:r>
      <w:r>
        <w:rPr>
          <w:rFonts w:ascii="Arial" w:hAnsi="Arial" w:cs="Arial"/>
          <w:sz w:val="20"/>
          <w:szCs w:val="20"/>
        </w:rPr>
        <w:t xml:space="preserve">that </w:t>
      </w:r>
      <w:r w:rsidR="00835DF8">
        <w:rPr>
          <w:rFonts w:ascii="Arial" w:hAnsi="Arial" w:cs="Arial"/>
          <w:sz w:val="20"/>
          <w:szCs w:val="20"/>
        </w:rPr>
        <w:t xml:space="preserve">are </w:t>
      </w:r>
      <w:r>
        <w:rPr>
          <w:rFonts w:ascii="Arial" w:hAnsi="Arial" w:cs="Arial"/>
          <w:sz w:val="20"/>
          <w:szCs w:val="20"/>
        </w:rPr>
        <w:t>collected from WFE members</w:t>
      </w:r>
      <w:r w:rsidR="009D1499">
        <w:rPr>
          <w:rFonts w:ascii="Arial" w:hAnsi="Arial" w:cs="Arial"/>
          <w:sz w:val="20"/>
          <w:szCs w:val="20"/>
        </w:rPr>
        <w:t>, the formal of their presentation</w:t>
      </w:r>
      <w:r>
        <w:rPr>
          <w:rFonts w:ascii="Arial" w:hAnsi="Arial" w:cs="Arial"/>
          <w:sz w:val="20"/>
          <w:szCs w:val="20"/>
        </w:rPr>
        <w:t xml:space="preserve"> and the frequency of </w:t>
      </w:r>
      <w:r w:rsidR="00835DF8">
        <w:rPr>
          <w:rFonts w:ascii="Arial" w:hAnsi="Arial" w:cs="Arial"/>
          <w:sz w:val="20"/>
          <w:szCs w:val="20"/>
        </w:rPr>
        <w:t xml:space="preserve">their </w:t>
      </w:r>
      <w:r>
        <w:rPr>
          <w:rFonts w:ascii="Arial" w:hAnsi="Arial" w:cs="Arial"/>
          <w:sz w:val="20"/>
          <w:szCs w:val="20"/>
        </w:rPr>
        <w:t>collection.</w:t>
      </w:r>
    </w:p>
    <w:tbl>
      <w:tblPr>
        <w:tblStyle w:val="TableGrid"/>
        <w:tblW w:w="0" w:type="auto"/>
        <w:tblLook w:val="04A0" w:firstRow="1" w:lastRow="0" w:firstColumn="1" w:lastColumn="0" w:noHBand="0" w:noVBand="1"/>
      </w:tblPr>
      <w:tblGrid>
        <w:gridCol w:w="8359"/>
        <w:gridCol w:w="3118"/>
        <w:gridCol w:w="2410"/>
      </w:tblGrid>
      <w:tr w:rsidR="00347F12" w:rsidRPr="00D56B44" w14:paraId="15008C85" w14:textId="77777777" w:rsidTr="0001525E">
        <w:tc>
          <w:tcPr>
            <w:tcW w:w="13887" w:type="dxa"/>
            <w:gridSpan w:val="3"/>
            <w:shd w:val="clear" w:color="auto" w:fill="4472C4" w:themeFill="accent1"/>
          </w:tcPr>
          <w:p w14:paraId="6C22FAE8" w14:textId="235D18CB" w:rsidR="00347F12" w:rsidRPr="00D56B44" w:rsidRDefault="00347F12" w:rsidP="00DA7135">
            <w:pPr>
              <w:spacing w:line="247" w:lineRule="auto"/>
              <w:rPr>
                <w:rFonts w:ascii="Arial" w:hAnsi="Arial" w:cs="Arial"/>
                <w:b/>
                <w:color w:val="FFFFFF" w:themeColor="background1"/>
                <w:sz w:val="20"/>
                <w:szCs w:val="20"/>
              </w:rPr>
            </w:pPr>
            <w:r w:rsidRPr="00D56B44">
              <w:rPr>
                <w:rFonts w:ascii="Arial" w:hAnsi="Arial" w:cs="Arial"/>
                <w:b/>
                <w:color w:val="FFFFFF" w:themeColor="background1"/>
                <w:sz w:val="20"/>
                <w:szCs w:val="20"/>
              </w:rPr>
              <w:t>Asset Class</w:t>
            </w:r>
          </w:p>
        </w:tc>
      </w:tr>
      <w:tr w:rsidR="00347F12" w:rsidRPr="00A5407E" w14:paraId="32DC34D6" w14:textId="77777777" w:rsidTr="0001525E">
        <w:tc>
          <w:tcPr>
            <w:tcW w:w="13887" w:type="dxa"/>
            <w:gridSpan w:val="3"/>
            <w:shd w:val="clear" w:color="auto" w:fill="auto"/>
          </w:tcPr>
          <w:p w14:paraId="2A58FC85" w14:textId="4F2ADB62" w:rsidR="00347F12" w:rsidRPr="00A5407E" w:rsidRDefault="00347F12" w:rsidP="00DA7135">
            <w:pPr>
              <w:spacing w:line="247" w:lineRule="auto"/>
              <w:rPr>
                <w:rFonts w:ascii="Arial" w:hAnsi="Arial" w:cs="Arial"/>
                <w:b/>
                <w:bCs/>
                <w:caps/>
                <w:sz w:val="20"/>
                <w:szCs w:val="20"/>
              </w:rPr>
            </w:pPr>
            <w:r w:rsidRPr="00EB0C9F">
              <w:rPr>
                <w:rFonts w:ascii="Arial" w:hAnsi="Arial" w:cs="Arial"/>
                <w:b/>
                <w:bCs/>
                <w:caps/>
                <w:sz w:val="20"/>
                <w:szCs w:val="20"/>
                <w:u w:val="single"/>
              </w:rPr>
              <w:t>Equity</w:t>
            </w:r>
          </w:p>
        </w:tc>
      </w:tr>
      <w:tr w:rsidR="00347F12" w:rsidRPr="00D56B44" w14:paraId="50972BA0" w14:textId="77777777" w:rsidTr="0001525E">
        <w:tc>
          <w:tcPr>
            <w:tcW w:w="13887" w:type="dxa"/>
            <w:gridSpan w:val="3"/>
            <w:shd w:val="clear" w:color="auto" w:fill="8EAADB" w:themeFill="accent1" w:themeFillTint="99"/>
          </w:tcPr>
          <w:p w14:paraId="71D341FB" w14:textId="0E55DFC5" w:rsidR="00347F12" w:rsidRPr="00D56B44" w:rsidRDefault="00347F12" w:rsidP="00DA7135">
            <w:pPr>
              <w:spacing w:line="247" w:lineRule="auto"/>
              <w:rPr>
                <w:rFonts w:ascii="Arial" w:hAnsi="Arial" w:cs="Arial"/>
                <w:b/>
                <w:sz w:val="20"/>
                <w:szCs w:val="20"/>
              </w:rPr>
            </w:pPr>
            <w:r w:rsidRPr="00D56B44">
              <w:rPr>
                <w:rFonts w:ascii="Arial" w:hAnsi="Arial" w:cs="Arial"/>
                <w:b/>
                <w:sz w:val="20"/>
                <w:szCs w:val="20"/>
              </w:rPr>
              <w:t>Product</w:t>
            </w:r>
          </w:p>
        </w:tc>
      </w:tr>
      <w:tr w:rsidR="00347F12" w:rsidRPr="00136624" w14:paraId="252AD35F" w14:textId="77777777" w:rsidTr="00136624">
        <w:trPr>
          <w:trHeight w:val="475"/>
        </w:trPr>
        <w:tc>
          <w:tcPr>
            <w:tcW w:w="13887" w:type="dxa"/>
            <w:gridSpan w:val="3"/>
            <w:shd w:val="clear" w:color="auto" w:fill="auto"/>
            <w:vAlign w:val="center"/>
          </w:tcPr>
          <w:p w14:paraId="655FBEE2" w14:textId="271E78E6" w:rsidR="00347F12" w:rsidRPr="00866EBC" w:rsidRDefault="00866EBC" w:rsidP="00136624">
            <w:pPr>
              <w:spacing w:line="247" w:lineRule="auto"/>
              <w:rPr>
                <w:rFonts w:ascii="Arial" w:hAnsi="Arial" w:cs="Arial"/>
                <w:b/>
                <w:bCs/>
                <w:smallCaps/>
                <w:sz w:val="20"/>
                <w:szCs w:val="20"/>
                <w:u w:val="single"/>
              </w:rPr>
            </w:pPr>
            <w:r w:rsidRPr="00866EBC">
              <w:rPr>
                <w:rFonts w:ascii="Arial" w:hAnsi="Arial" w:cs="Arial"/>
                <w:b/>
                <w:bCs/>
                <w:smallCaps/>
                <w:color w:val="002060"/>
                <w:sz w:val="20"/>
                <w:szCs w:val="20"/>
                <w:u w:val="single"/>
              </w:rPr>
              <w:fldChar w:fldCharType="begin"/>
            </w:r>
            <w:r w:rsidRPr="00866EBC">
              <w:rPr>
                <w:rFonts w:ascii="Arial" w:hAnsi="Arial" w:cs="Arial"/>
                <w:b/>
                <w:bCs/>
                <w:smallCaps/>
                <w:color w:val="002060"/>
                <w:sz w:val="20"/>
                <w:szCs w:val="20"/>
                <w:u w:val="single"/>
              </w:rPr>
              <w:instrText xml:space="preserve"> REF _Ref14258638 \h </w:instrText>
            </w:r>
            <w:r>
              <w:rPr>
                <w:rFonts w:ascii="Arial" w:hAnsi="Arial" w:cs="Arial"/>
                <w:b/>
                <w:bCs/>
                <w:smallCaps/>
                <w:color w:val="002060"/>
                <w:sz w:val="20"/>
                <w:szCs w:val="20"/>
                <w:u w:val="single"/>
              </w:rPr>
              <w:instrText xml:space="preserve"> \* MERGEFORMAT </w:instrText>
            </w:r>
            <w:r w:rsidRPr="00866EBC">
              <w:rPr>
                <w:rFonts w:ascii="Arial" w:hAnsi="Arial" w:cs="Arial"/>
                <w:b/>
                <w:bCs/>
                <w:smallCaps/>
                <w:color w:val="002060"/>
                <w:sz w:val="20"/>
                <w:szCs w:val="20"/>
                <w:u w:val="single"/>
              </w:rPr>
            </w:r>
            <w:r w:rsidRPr="00866EBC">
              <w:rPr>
                <w:rFonts w:ascii="Arial" w:hAnsi="Arial" w:cs="Arial"/>
                <w:b/>
                <w:bCs/>
                <w:smallCaps/>
                <w:color w:val="002060"/>
                <w:sz w:val="20"/>
                <w:szCs w:val="20"/>
                <w:u w:val="single"/>
              </w:rPr>
              <w:fldChar w:fldCharType="separate"/>
            </w:r>
            <w:r w:rsidR="0094528E" w:rsidRPr="0094528E">
              <w:rPr>
                <w:rFonts w:ascii="Arial" w:hAnsi="Arial" w:cs="Arial"/>
                <w:b/>
                <w:bCs/>
                <w:i/>
                <w:iCs/>
                <w:color w:val="002060"/>
                <w:sz w:val="20"/>
                <w:szCs w:val="20"/>
                <w:u w:val="single"/>
              </w:rPr>
              <w:t>Total Equity Market</w:t>
            </w:r>
            <w:r w:rsidRPr="00866EBC">
              <w:rPr>
                <w:rFonts w:ascii="Arial" w:hAnsi="Arial" w:cs="Arial"/>
                <w:b/>
                <w:bCs/>
                <w:smallCaps/>
                <w:color w:val="002060"/>
                <w:sz w:val="20"/>
                <w:szCs w:val="20"/>
                <w:u w:val="single"/>
              </w:rPr>
              <w:fldChar w:fldCharType="end"/>
            </w:r>
          </w:p>
        </w:tc>
      </w:tr>
      <w:tr w:rsidR="00B617D6" w:rsidRPr="00D56B44" w14:paraId="7D4BD35F" w14:textId="77777777" w:rsidTr="00B617D6">
        <w:tc>
          <w:tcPr>
            <w:tcW w:w="8359" w:type="dxa"/>
            <w:shd w:val="clear" w:color="auto" w:fill="D9E2F3" w:themeFill="accent1" w:themeFillTint="33"/>
          </w:tcPr>
          <w:p w14:paraId="76FBB33B" w14:textId="77777777" w:rsidR="00B617D6" w:rsidRPr="00D56B44" w:rsidRDefault="00B617D6" w:rsidP="00DA7135">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648F58E7" w14:textId="20BAE537" w:rsidR="00B617D6" w:rsidRPr="00D56B44" w:rsidRDefault="00347F12"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3117E8D4" w14:textId="5D3BB5AF" w:rsidR="00B617D6" w:rsidRPr="00D56B44" w:rsidRDefault="00347F12" w:rsidP="00DA7135">
            <w:pPr>
              <w:spacing w:line="247" w:lineRule="auto"/>
              <w:rPr>
                <w:rFonts w:ascii="Arial" w:hAnsi="Arial" w:cs="Arial"/>
                <w:b/>
                <w:sz w:val="20"/>
                <w:szCs w:val="20"/>
              </w:rPr>
            </w:pPr>
            <w:r>
              <w:rPr>
                <w:rFonts w:ascii="Arial" w:hAnsi="Arial" w:cs="Arial"/>
                <w:b/>
                <w:sz w:val="20"/>
                <w:szCs w:val="20"/>
              </w:rPr>
              <w:t>Frequency</w:t>
            </w:r>
          </w:p>
        </w:tc>
      </w:tr>
      <w:tr w:rsidR="00B617D6" w:rsidRPr="00D56B44" w14:paraId="460920E6" w14:textId="77777777" w:rsidTr="00B617D6">
        <w:tc>
          <w:tcPr>
            <w:tcW w:w="8359" w:type="dxa"/>
          </w:tcPr>
          <w:p w14:paraId="60F8D2DA"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Market capitalisation</w:t>
            </w:r>
          </w:p>
        </w:tc>
        <w:tc>
          <w:tcPr>
            <w:tcW w:w="3118" w:type="dxa"/>
          </w:tcPr>
          <w:p w14:paraId="167C8B8E" w14:textId="73C74E29" w:rsidR="00B617D6" w:rsidRPr="00D56B44"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w:t>
            </w:r>
            <w:r w:rsidR="00E50868">
              <w:rPr>
                <w:rFonts w:ascii="Arial" w:eastAsia="Times New Roman" w:hAnsi="Arial" w:cs="Arial"/>
                <w:color w:val="000000"/>
                <w:sz w:val="20"/>
                <w:szCs w:val="20"/>
                <w:lang w:eastAsia="en-GB"/>
              </w:rPr>
              <w:t xml:space="preserve"> (000 000)</w:t>
            </w:r>
          </w:p>
        </w:tc>
        <w:tc>
          <w:tcPr>
            <w:tcW w:w="2410" w:type="dxa"/>
          </w:tcPr>
          <w:p w14:paraId="44BDF267" w14:textId="002E97A7" w:rsidR="00B617D6" w:rsidRPr="00D56B44" w:rsidRDefault="00B617D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Monthly and Annual</w:t>
            </w:r>
          </w:p>
        </w:tc>
      </w:tr>
      <w:tr w:rsidR="009407A0" w:rsidRPr="00D56B44" w14:paraId="69377594" w14:textId="77777777" w:rsidTr="00B617D6">
        <w:tc>
          <w:tcPr>
            <w:tcW w:w="8359" w:type="dxa"/>
          </w:tcPr>
          <w:p w14:paraId="25134E9D" w14:textId="1582ADB2" w:rsidR="009407A0" w:rsidRPr="00EE3FF7"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Market capitalisation of new listings</w:t>
            </w:r>
          </w:p>
        </w:tc>
        <w:tc>
          <w:tcPr>
            <w:tcW w:w="3118" w:type="dxa"/>
          </w:tcPr>
          <w:p w14:paraId="13FECE2E" w14:textId="54DF99C4" w:rsidR="009407A0" w:rsidRDefault="009407A0" w:rsidP="00DA7135">
            <w:pPr>
              <w:spacing w:line="247" w:lineRule="auto"/>
              <w:rPr>
                <w:rFonts w:ascii="Arial" w:eastAsia="Times New Roman" w:hAnsi="Arial" w:cs="Arial"/>
                <w:color w:val="000000"/>
                <w:sz w:val="20"/>
                <w:szCs w:val="20"/>
                <w:lang w:eastAsia="en-GB"/>
              </w:rPr>
            </w:pPr>
            <w:r w:rsidRPr="000B5E24">
              <w:rPr>
                <w:rFonts w:ascii="Arial" w:eastAsia="Times New Roman" w:hAnsi="Arial" w:cs="Arial"/>
                <w:color w:val="000000"/>
                <w:sz w:val="20"/>
                <w:szCs w:val="20"/>
                <w:lang w:eastAsia="en-GB"/>
              </w:rPr>
              <w:t>Monetary (000 000)</w:t>
            </w:r>
          </w:p>
        </w:tc>
        <w:tc>
          <w:tcPr>
            <w:tcW w:w="2410" w:type="dxa"/>
          </w:tcPr>
          <w:p w14:paraId="70BBA1B4" w14:textId="209F2297" w:rsidR="009407A0" w:rsidRPr="00D56B44"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w:t>
            </w:r>
          </w:p>
        </w:tc>
      </w:tr>
      <w:tr w:rsidR="009407A0" w:rsidRPr="00D56B44" w14:paraId="62CE46C6" w14:textId="77777777" w:rsidTr="00B617D6">
        <w:tc>
          <w:tcPr>
            <w:tcW w:w="8359" w:type="dxa"/>
          </w:tcPr>
          <w:p w14:paraId="0FA6A8AD" w14:textId="1C704B41" w:rsidR="009407A0" w:rsidRPr="00EE3FF7"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Market capitalisation of </w:t>
            </w:r>
            <w:proofErr w:type="spellStart"/>
            <w:r>
              <w:rPr>
                <w:rFonts w:ascii="Arial" w:eastAsia="Times New Roman" w:hAnsi="Arial" w:cs="Arial"/>
                <w:color w:val="000000"/>
                <w:sz w:val="20"/>
                <w:szCs w:val="20"/>
                <w:lang w:eastAsia="en-GB"/>
              </w:rPr>
              <w:t>delistings</w:t>
            </w:r>
            <w:proofErr w:type="spellEnd"/>
          </w:p>
        </w:tc>
        <w:tc>
          <w:tcPr>
            <w:tcW w:w="3118" w:type="dxa"/>
          </w:tcPr>
          <w:p w14:paraId="598A60EA" w14:textId="1B3FDA9A" w:rsidR="009407A0" w:rsidRDefault="009407A0" w:rsidP="00DA7135">
            <w:pPr>
              <w:spacing w:line="247" w:lineRule="auto"/>
              <w:rPr>
                <w:rFonts w:ascii="Arial" w:eastAsia="Times New Roman" w:hAnsi="Arial" w:cs="Arial"/>
                <w:color w:val="000000"/>
                <w:sz w:val="20"/>
                <w:szCs w:val="20"/>
                <w:lang w:eastAsia="en-GB"/>
              </w:rPr>
            </w:pPr>
            <w:r w:rsidRPr="000B5E24">
              <w:rPr>
                <w:rFonts w:ascii="Arial" w:eastAsia="Times New Roman" w:hAnsi="Arial" w:cs="Arial"/>
                <w:color w:val="000000"/>
                <w:sz w:val="20"/>
                <w:szCs w:val="20"/>
                <w:lang w:eastAsia="en-GB"/>
              </w:rPr>
              <w:t>Monetary (000 000)</w:t>
            </w:r>
          </w:p>
        </w:tc>
        <w:tc>
          <w:tcPr>
            <w:tcW w:w="2410" w:type="dxa"/>
          </w:tcPr>
          <w:p w14:paraId="07A1BCA2" w14:textId="5819316F" w:rsidR="009407A0" w:rsidRPr="00D56B44"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w:t>
            </w:r>
          </w:p>
        </w:tc>
      </w:tr>
      <w:tr w:rsidR="00B617D6" w:rsidRPr="00D56B44" w14:paraId="13C40A37" w14:textId="77777777" w:rsidTr="00B617D6">
        <w:tc>
          <w:tcPr>
            <w:tcW w:w="8359" w:type="dxa"/>
          </w:tcPr>
          <w:p w14:paraId="673FFC55" w14:textId="6F5629C1"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listed companies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3D149FF6" w14:textId="2EC6F93A" w:rsidR="0055199F" w:rsidRPr="00381FE8" w:rsidRDefault="005519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1CC02E7C" w14:textId="7A26C9B2"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6ACCC3D9" w14:textId="77777777" w:rsidTr="00B617D6">
        <w:tc>
          <w:tcPr>
            <w:tcW w:w="8359" w:type="dxa"/>
          </w:tcPr>
          <w:p w14:paraId="62C8982D" w14:textId="50861F54"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listed companies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1C60C5C1" w14:textId="6D6EE996" w:rsidR="00B617D6" w:rsidRPr="00381FE8" w:rsidRDefault="005519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4482D907" w14:textId="2045447A"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5D09BB4C" w14:textId="77777777" w:rsidTr="00B617D6">
        <w:tc>
          <w:tcPr>
            <w:tcW w:w="8359" w:type="dxa"/>
          </w:tcPr>
          <w:p w14:paraId="4C8241A9"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listed companies (Total)</w:t>
            </w:r>
          </w:p>
        </w:tc>
        <w:tc>
          <w:tcPr>
            <w:tcW w:w="3118" w:type="dxa"/>
          </w:tcPr>
          <w:p w14:paraId="1A5EFD6E" w14:textId="19E33B77" w:rsidR="00B617D6" w:rsidRPr="00381FE8" w:rsidRDefault="005519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3C1DC48A" w14:textId="00AD7B47"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EC49DA4" w14:textId="77777777" w:rsidTr="00B617D6">
        <w:tc>
          <w:tcPr>
            <w:tcW w:w="8359" w:type="dxa"/>
          </w:tcPr>
          <w:p w14:paraId="5963324B" w14:textId="180CE889"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(EOB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57A4D8A4" w14:textId="3EA34128"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4D8D3F5C" w14:textId="7A598734"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6B22F22B" w14:textId="77777777" w:rsidTr="00B617D6">
        <w:tc>
          <w:tcPr>
            <w:tcW w:w="8359" w:type="dxa"/>
          </w:tcPr>
          <w:p w14:paraId="17E061AA" w14:textId="69E9D04D"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(EOB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73B3AB0A" w14:textId="709ED5A6"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160F7C5E" w14:textId="47D93ADA"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2036A4DA" w14:textId="77777777" w:rsidTr="00B617D6">
        <w:tc>
          <w:tcPr>
            <w:tcW w:w="8359" w:type="dxa"/>
          </w:tcPr>
          <w:p w14:paraId="36B15B86"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 traded (EOB Total)</w:t>
            </w:r>
          </w:p>
        </w:tc>
        <w:tc>
          <w:tcPr>
            <w:tcW w:w="3118" w:type="dxa"/>
          </w:tcPr>
          <w:p w14:paraId="6D5E4575" w14:textId="2E6A1465"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4D10FFEA" w14:textId="3FB3BCC9"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206EB717" w14:textId="77777777" w:rsidTr="00B617D6">
        <w:tc>
          <w:tcPr>
            <w:tcW w:w="8359" w:type="dxa"/>
          </w:tcPr>
          <w:p w14:paraId="6B5F07CC" w14:textId="0D02F484" w:rsidR="009407A0" w:rsidRPr="00EE3FF7"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w:t>
            </w:r>
            <w:r w:rsidRPr="00EE3FF7">
              <w:rPr>
                <w:rFonts w:ascii="Arial" w:eastAsia="Times New Roman" w:hAnsi="Arial" w:cs="Arial"/>
                <w:color w:val="000000"/>
                <w:sz w:val="20"/>
                <w:szCs w:val="20"/>
                <w:lang w:eastAsia="en-GB"/>
              </w:rPr>
              <w:t xml:space="preserve">alue traded (Negotiated Deals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13129932" w14:textId="4654BA86"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37BB1DB0" w14:textId="4A8CB543"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5C06A1DB" w14:textId="77777777" w:rsidTr="00B617D6">
        <w:tc>
          <w:tcPr>
            <w:tcW w:w="8359" w:type="dxa"/>
          </w:tcPr>
          <w:p w14:paraId="5272B224" w14:textId="3BA4197C"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(Negotiated Deals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1B3C1037" w14:textId="63D63069"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1528DF2E" w14:textId="03CE450F"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19A3A596" w14:textId="77777777" w:rsidTr="00B617D6">
        <w:tc>
          <w:tcPr>
            <w:tcW w:w="8359" w:type="dxa"/>
          </w:tcPr>
          <w:p w14:paraId="057C269A"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 traded (Negotiated Deals Total)</w:t>
            </w:r>
          </w:p>
        </w:tc>
        <w:tc>
          <w:tcPr>
            <w:tcW w:w="3118" w:type="dxa"/>
          </w:tcPr>
          <w:p w14:paraId="6D11D6B3" w14:textId="0AEEDC73"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06E1A5D6" w14:textId="36A4D87C"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0B5FDAE" w14:textId="77777777" w:rsidTr="00B617D6">
        <w:tc>
          <w:tcPr>
            <w:tcW w:w="8359" w:type="dxa"/>
          </w:tcPr>
          <w:p w14:paraId="361430BA" w14:textId="3FD8DD0B"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(Reported Trades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3A8E3F1A" w14:textId="7A136B03"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3F9E231E" w14:textId="1CA329FB"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FF6B16D" w14:textId="77777777" w:rsidTr="00B617D6">
        <w:tc>
          <w:tcPr>
            <w:tcW w:w="8359" w:type="dxa"/>
          </w:tcPr>
          <w:p w14:paraId="50D1D680" w14:textId="05A53E6E"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(Reported Trades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4AD1FD09" w14:textId="7230FA3B"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1D1EC19F" w14:textId="5ABAC986"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450C3C8E" w14:textId="77777777" w:rsidTr="00B617D6">
        <w:tc>
          <w:tcPr>
            <w:tcW w:w="8359" w:type="dxa"/>
          </w:tcPr>
          <w:p w14:paraId="76017311"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 traded (Reported Trades Total)</w:t>
            </w:r>
          </w:p>
        </w:tc>
        <w:tc>
          <w:tcPr>
            <w:tcW w:w="3118" w:type="dxa"/>
          </w:tcPr>
          <w:p w14:paraId="23A17925" w14:textId="0319712D"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30A85687" w14:textId="6801AEF2"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619C0D97" w14:textId="77777777" w:rsidTr="00B617D6">
        <w:tc>
          <w:tcPr>
            <w:tcW w:w="8359" w:type="dxa"/>
          </w:tcPr>
          <w:p w14:paraId="017BE051"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trades (EOB)</w:t>
            </w:r>
          </w:p>
        </w:tc>
        <w:tc>
          <w:tcPr>
            <w:tcW w:w="3118" w:type="dxa"/>
          </w:tcPr>
          <w:p w14:paraId="5D9E9FCF" w14:textId="664EEB5D" w:rsidR="00B617D6" w:rsidRPr="00381FE8" w:rsidRDefault="0046614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tcPr>
          <w:p w14:paraId="085936E8" w14:textId="28158BBD"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466144" w:rsidRPr="00D56B44" w14:paraId="6DDB0070" w14:textId="77777777" w:rsidTr="00B617D6">
        <w:tc>
          <w:tcPr>
            <w:tcW w:w="8359" w:type="dxa"/>
          </w:tcPr>
          <w:p w14:paraId="3AC23EBF" w14:textId="77777777" w:rsidR="00466144" w:rsidRPr="00EE3FF7" w:rsidRDefault="00466144"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trades (Negotiated Deals)</w:t>
            </w:r>
          </w:p>
        </w:tc>
        <w:tc>
          <w:tcPr>
            <w:tcW w:w="3118" w:type="dxa"/>
          </w:tcPr>
          <w:p w14:paraId="0BDB94A3" w14:textId="5EF62B0F" w:rsidR="00466144" w:rsidRPr="00381FE8" w:rsidRDefault="00466144" w:rsidP="00DA7135">
            <w:pPr>
              <w:spacing w:line="247" w:lineRule="auto"/>
              <w:rPr>
                <w:rFonts w:ascii="Arial" w:eastAsia="Times New Roman" w:hAnsi="Arial" w:cs="Arial"/>
                <w:color w:val="000000"/>
                <w:sz w:val="20"/>
                <w:szCs w:val="20"/>
                <w:lang w:eastAsia="en-GB"/>
              </w:rPr>
            </w:pPr>
            <w:r w:rsidRPr="003046A8">
              <w:rPr>
                <w:rFonts w:ascii="Arial" w:eastAsia="Times New Roman" w:hAnsi="Arial" w:cs="Arial"/>
                <w:color w:val="000000"/>
                <w:sz w:val="20"/>
                <w:szCs w:val="20"/>
                <w:lang w:eastAsia="en-GB"/>
              </w:rPr>
              <w:t>Decimal (000)</w:t>
            </w:r>
          </w:p>
        </w:tc>
        <w:tc>
          <w:tcPr>
            <w:tcW w:w="2410" w:type="dxa"/>
          </w:tcPr>
          <w:p w14:paraId="48EE024C" w14:textId="7841B577" w:rsidR="00466144" w:rsidRPr="00D56B44" w:rsidRDefault="00466144"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466144" w:rsidRPr="00D56B44" w14:paraId="705A40EB" w14:textId="77777777" w:rsidTr="00B617D6">
        <w:tc>
          <w:tcPr>
            <w:tcW w:w="8359" w:type="dxa"/>
          </w:tcPr>
          <w:p w14:paraId="05ACB8EF" w14:textId="77777777" w:rsidR="00466144" w:rsidRPr="00EE3FF7" w:rsidRDefault="00466144"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lastRenderedPageBreak/>
              <w:t>Number of trades (Reported Trades)</w:t>
            </w:r>
          </w:p>
        </w:tc>
        <w:tc>
          <w:tcPr>
            <w:tcW w:w="3118" w:type="dxa"/>
          </w:tcPr>
          <w:p w14:paraId="79B8FEAA" w14:textId="24DEB97D" w:rsidR="00466144" w:rsidRPr="00381FE8" w:rsidRDefault="00466144" w:rsidP="00DA7135">
            <w:pPr>
              <w:spacing w:line="247" w:lineRule="auto"/>
              <w:rPr>
                <w:rFonts w:ascii="Arial" w:eastAsia="Times New Roman" w:hAnsi="Arial" w:cs="Arial"/>
                <w:color w:val="000000"/>
                <w:sz w:val="20"/>
                <w:szCs w:val="20"/>
                <w:lang w:eastAsia="en-GB"/>
              </w:rPr>
            </w:pPr>
            <w:r w:rsidRPr="003046A8">
              <w:rPr>
                <w:rFonts w:ascii="Arial" w:eastAsia="Times New Roman" w:hAnsi="Arial" w:cs="Arial"/>
                <w:color w:val="000000"/>
                <w:sz w:val="20"/>
                <w:szCs w:val="20"/>
                <w:lang w:eastAsia="en-GB"/>
              </w:rPr>
              <w:t>Decimal (000)</w:t>
            </w:r>
          </w:p>
        </w:tc>
        <w:tc>
          <w:tcPr>
            <w:tcW w:w="2410" w:type="dxa"/>
          </w:tcPr>
          <w:p w14:paraId="4E3F6032" w14:textId="6F99C8CB" w:rsidR="00466144" w:rsidRPr="00D56B44" w:rsidRDefault="00466144"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3469E7" w:rsidRPr="00D56B44" w14:paraId="0CB7115B" w14:textId="77777777" w:rsidTr="0001525E">
        <w:tc>
          <w:tcPr>
            <w:tcW w:w="8359" w:type="dxa"/>
            <w:shd w:val="clear" w:color="auto" w:fill="auto"/>
          </w:tcPr>
          <w:p w14:paraId="652E1BB2"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(EOB)</w:t>
            </w:r>
          </w:p>
        </w:tc>
        <w:tc>
          <w:tcPr>
            <w:tcW w:w="3118" w:type="dxa"/>
          </w:tcPr>
          <w:p w14:paraId="34E96264" w14:textId="77777777" w:rsidR="003469E7" w:rsidRPr="00D56B44" w:rsidRDefault="003469E7" w:rsidP="00DA7135">
            <w:pPr>
              <w:spacing w:line="247" w:lineRule="auto"/>
              <w:rPr>
                <w:rFonts w:ascii="Arial" w:hAnsi="Arial" w:cs="Arial"/>
                <w:sz w:val="20"/>
                <w:szCs w:val="20"/>
              </w:rPr>
            </w:pPr>
            <w:r>
              <w:rPr>
                <w:rFonts w:ascii="Arial" w:hAnsi="Arial" w:cs="Arial"/>
                <w:sz w:val="20"/>
                <w:szCs w:val="20"/>
              </w:rPr>
              <w:t>Decimal (000 000)</w:t>
            </w:r>
          </w:p>
        </w:tc>
        <w:tc>
          <w:tcPr>
            <w:tcW w:w="2410" w:type="dxa"/>
            <w:shd w:val="clear" w:color="auto" w:fill="auto"/>
          </w:tcPr>
          <w:p w14:paraId="7870714A"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3469E7" w:rsidRPr="00D56B44" w14:paraId="59579C9D" w14:textId="77777777" w:rsidTr="0001525E">
        <w:tc>
          <w:tcPr>
            <w:tcW w:w="8359" w:type="dxa"/>
            <w:shd w:val="clear" w:color="auto" w:fill="auto"/>
          </w:tcPr>
          <w:p w14:paraId="66219212"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(Negotiated Deals)</w:t>
            </w:r>
          </w:p>
        </w:tc>
        <w:tc>
          <w:tcPr>
            <w:tcW w:w="3118" w:type="dxa"/>
          </w:tcPr>
          <w:p w14:paraId="30ED975A" w14:textId="77777777" w:rsidR="003469E7" w:rsidRPr="00D56B44" w:rsidRDefault="003469E7" w:rsidP="00DA7135">
            <w:pPr>
              <w:spacing w:line="247" w:lineRule="auto"/>
              <w:rPr>
                <w:rFonts w:ascii="Arial" w:hAnsi="Arial" w:cs="Arial"/>
                <w:sz w:val="20"/>
                <w:szCs w:val="20"/>
              </w:rPr>
            </w:pPr>
            <w:r w:rsidRPr="006C7AAC">
              <w:rPr>
                <w:rFonts w:ascii="Arial" w:hAnsi="Arial" w:cs="Arial"/>
                <w:sz w:val="20"/>
                <w:szCs w:val="20"/>
              </w:rPr>
              <w:t>Decimal (000 000)</w:t>
            </w:r>
          </w:p>
        </w:tc>
        <w:tc>
          <w:tcPr>
            <w:tcW w:w="2410" w:type="dxa"/>
            <w:shd w:val="clear" w:color="auto" w:fill="auto"/>
          </w:tcPr>
          <w:p w14:paraId="25D4373B"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3469E7" w:rsidRPr="00D56B44" w14:paraId="29A849BA" w14:textId="77777777" w:rsidTr="0001525E">
        <w:tc>
          <w:tcPr>
            <w:tcW w:w="8359" w:type="dxa"/>
            <w:shd w:val="clear" w:color="auto" w:fill="auto"/>
          </w:tcPr>
          <w:p w14:paraId="11200622"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(Reported Trades)</w:t>
            </w:r>
          </w:p>
        </w:tc>
        <w:tc>
          <w:tcPr>
            <w:tcW w:w="3118" w:type="dxa"/>
          </w:tcPr>
          <w:p w14:paraId="14980AB0" w14:textId="77777777" w:rsidR="003469E7" w:rsidRPr="00D56B44" w:rsidRDefault="003469E7" w:rsidP="00DA7135">
            <w:pPr>
              <w:spacing w:line="247" w:lineRule="auto"/>
              <w:rPr>
                <w:rFonts w:ascii="Arial" w:hAnsi="Arial" w:cs="Arial"/>
                <w:sz w:val="20"/>
                <w:szCs w:val="20"/>
              </w:rPr>
            </w:pPr>
            <w:r w:rsidRPr="006C7AAC">
              <w:rPr>
                <w:rFonts w:ascii="Arial" w:hAnsi="Arial" w:cs="Arial"/>
                <w:sz w:val="20"/>
                <w:szCs w:val="20"/>
              </w:rPr>
              <w:t>Decimal (000 000)</w:t>
            </w:r>
          </w:p>
        </w:tc>
        <w:tc>
          <w:tcPr>
            <w:tcW w:w="2410" w:type="dxa"/>
            <w:shd w:val="clear" w:color="auto" w:fill="auto"/>
          </w:tcPr>
          <w:p w14:paraId="27DECE97"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3469E7" w:rsidRPr="00D56B44" w14:paraId="120790C8" w14:textId="77777777" w:rsidTr="0001525E">
        <w:tc>
          <w:tcPr>
            <w:tcW w:w="8359" w:type="dxa"/>
            <w:shd w:val="clear" w:color="auto" w:fill="auto"/>
          </w:tcPr>
          <w:p w14:paraId="38213A5D"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(Total)</w:t>
            </w:r>
          </w:p>
        </w:tc>
        <w:tc>
          <w:tcPr>
            <w:tcW w:w="3118" w:type="dxa"/>
          </w:tcPr>
          <w:p w14:paraId="6DC8DACC" w14:textId="77777777" w:rsidR="003469E7" w:rsidRPr="00D56B44" w:rsidRDefault="003469E7" w:rsidP="00DA7135">
            <w:pPr>
              <w:spacing w:line="247" w:lineRule="auto"/>
              <w:rPr>
                <w:rFonts w:ascii="Arial" w:hAnsi="Arial" w:cs="Arial"/>
                <w:sz w:val="20"/>
                <w:szCs w:val="20"/>
              </w:rPr>
            </w:pPr>
            <w:r w:rsidRPr="006C7AAC">
              <w:rPr>
                <w:rFonts w:ascii="Arial" w:hAnsi="Arial" w:cs="Arial"/>
                <w:sz w:val="20"/>
                <w:szCs w:val="20"/>
              </w:rPr>
              <w:t>Decimal (000 000)</w:t>
            </w:r>
          </w:p>
        </w:tc>
        <w:tc>
          <w:tcPr>
            <w:tcW w:w="2410" w:type="dxa"/>
            <w:shd w:val="clear" w:color="auto" w:fill="auto"/>
          </w:tcPr>
          <w:p w14:paraId="4D7EBC38"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B617D6" w:rsidRPr="00D56B44" w14:paraId="4100439F" w14:textId="77777777" w:rsidTr="00B617D6">
        <w:tc>
          <w:tcPr>
            <w:tcW w:w="8359" w:type="dxa"/>
          </w:tcPr>
          <w:p w14:paraId="517960A5"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through IPO (Domestic)</w:t>
            </w:r>
          </w:p>
        </w:tc>
        <w:tc>
          <w:tcPr>
            <w:tcW w:w="3118" w:type="dxa"/>
          </w:tcPr>
          <w:p w14:paraId="4E782A62" w14:textId="0E1449A6" w:rsidR="00B617D6" w:rsidRPr="00381FE8" w:rsidRDefault="0046614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387D7BB9" w14:textId="6949C785"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13EE7A18" w14:textId="77777777" w:rsidTr="00B617D6">
        <w:tc>
          <w:tcPr>
            <w:tcW w:w="8359" w:type="dxa"/>
          </w:tcPr>
          <w:p w14:paraId="422EF551"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through IPO (Foreign)</w:t>
            </w:r>
          </w:p>
        </w:tc>
        <w:tc>
          <w:tcPr>
            <w:tcW w:w="3118" w:type="dxa"/>
          </w:tcPr>
          <w:p w14:paraId="3FD8B69D" w14:textId="7DD88FDF" w:rsidR="00B617D6" w:rsidRPr="00381FE8" w:rsidRDefault="0046614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1E85F401" w14:textId="55DDFA50"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372FEAA" w14:textId="77777777" w:rsidTr="00B617D6">
        <w:tc>
          <w:tcPr>
            <w:tcW w:w="8359" w:type="dxa"/>
          </w:tcPr>
          <w:p w14:paraId="3ECEB93E"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through IPO (Total)</w:t>
            </w:r>
          </w:p>
        </w:tc>
        <w:tc>
          <w:tcPr>
            <w:tcW w:w="3118" w:type="dxa"/>
          </w:tcPr>
          <w:p w14:paraId="618518D0" w14:textId="232F93E2"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1BA56727" w14:textId="3F4F5538"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0F017A86" w14:textId="77777777" w:rsidTr="00B617D6">
        <w:tc>
          <w:tcPr>
            <w:tcW w:w="8359" w:type="dxa"/>
          </w:tcPr>
          <w:p w14:paraId="5DA07BC6"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not through IPO (Domestic)</w:t>
            </w:r>
          </w:p>
        </w:tc>
        <w:tc>
          <w:tcPr>
            <w:tcW w:w="3118" w:type="dxa"/>
          </w:tcPr>
          <w:p w14:paraId="7F872AB3" w14:textId="73490191"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70B947B9" w14:textId="0D89EE49"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1A1EE8C7" w14:textId="77777777" w:rsidTr="00B617D6">
        <w:tc>
          <w:tcPr>
            <w:tcW w:w="8359" w:type="dxa"/>
          </w:tcPr>
          <w:p w14:paraId="46C612F6"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not through IPO (Foreign)</w:t>
            </w:r>
          </w:p>
        </w:tc>
        <w:tc>
          <w:tcPr>
            <w:tcW w:w="3118" w:type="dxa"/>
          </w:tcPr>
          <w:p w14:paraId="74DB05ED" w14:textId="52CE07EB"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37D24E9F" w14:textId="20C9B2BF"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26CE7505" w14:textId="77777777" w:rsidTr="00B617D6">
        <w:tc>
          <w:tcPr>
            <w:tcW w:w="8359" w:type="dxa"/>
          </w:tcPr>
          <w:p w14:paraId="2ED4EAEB"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not through IPO (Total)</w:t>
            </w:r>
          </w:p>
        </w:tc>
        <w:tc>
          <w:tcPr>
            <w:tcW w:w="3118" w:type="dxa"/>
          </w:tcPr>
          <w:p w14:paraId="7545DFA9" w14:textId="4512A01B"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3944FDEE" w14:textId="093C9C53"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63C4CAFD" w14:textId="77777777" w:rsidTr="00B617D6">
        <w:tc>
          <w:tcPr>
            <w:tcW w:w="8359" w:type="dxa"/>
          </w:tcPr>
          <w:p w14:paraId="596C0753" w14:textId="77777777" w:rsidR="009407A0" w:rsidRPr="00D56B44" w:rsidRDefault="009407A0" w:rsidP="00DA7135">
            <w:pPr>
              <w:spacing w:line="247" w:lineRule="auto"/>
              <w:rPr>
                <w:rFonts w:ascii="Arial" w:eastAsia="Times New Roman" w:hAnsi="Arial" w:cs="Arial"/>
                <w:color w:val="000000"/>
                <w:sz w:val="20"/>
                <w:szCs w:val="20"/>
                <w:lang w:eastAsia="en-GB"/>
              </w:rPr>
            </w:pPr>
            <w:bookmarkStart w:id="0" w:name="_Hlk7786283"/>
            <w:r w:rsidRPr="00D56B44">
              <w:rPr>
                <w:rFonts w:ascii="Arial" w:eastAsia="Times New Roman" w:hAnsi="Arial" w:cs="Arial"/>
                <w:color w:val="000000"/>
                <w:sz w:val="20"/>
                <w:szCs w:val="20"/>
                <w:lang w:eastAsia="en-GB"/>
              </w:rPr>
              <w:t>Number of new listings total (Domestic)</w:t>
            </w:r>
          </w:p>
        </w:tc>
        <w:tc>
          <w:tcPr>
            <w:tcW w:w="3118" w:type="dxa"/>
          </w:tcPr>
          <w:p w14:paraId="5BF0A11A" w14:textId="76950E90" w:rsidR="009407A0" w:rsidRPr="00D56B44"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2061D212" w14:textId="1A3E1D24"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9407A0" w:rsidRPr="00D56B44" w14:paraId="592494AC" w14:textId="77777777" w:rsidTr="00B617D6">
        <w:tc>
          <w:tcPr>
            <w:tcW w:w="8359" w:type="dxa"/>
          </w:tcPr>
          <w:p w14:paraId="0FAC2C92"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Number of new listings total (Foreign)</w:t>
            </w:r>
          </w:p>
        </w:tc>
        <w:tc>
          <w:tcPr>
            <w:tcW w:w="3118" w:type="dxa"/>
          </w:tcPr>
          <w:p w14:paraId="21C3496A" w14:textId="4F5C9396" w:rsidR="009407A0" w:rsidRPr="00D56B44"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5B369CA7" w14:textId="5C577228"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17D28" w:rsidRPr="00D56B44" w14:paraId="2D7221C3" w14:textId="77777777" w:rsidTr="00B617D6">
        <w:tc>
          <w:tcPr>
            <w:tcW w:w="8359" w:type="dxa"/>
          </w:tcPr>
          <w:p w14:paraId="55FE6BAF" w14:textId="5E6B4DCE" w:rsidR="00217D28" w:rsidRPr="00D56B44" w:rsidRDefault="00217D28" w:rsidP="00DA7135">
            <w:pPr>
              <w:spacing w:line="247" w:lineRule="auto"/>
              <w:rPr>
                <w:rFonts w:ascii="Arial" w:hAnsi="Arial" w:cs="Arial"/>
                <w:sz w:val="20"/>
                <w:szCs w:val="20"/>
              </w:rPr>
            </w:pPr>
            <w:r>
              <w:rPr>
                <w:rFonts w:ascii="Arial" w:hAnsi="Arial" w:cs="Arial"/>
                <w:sz w:val="20"/>
                <w:szCs w:val="20"/>
              </w:rPr>
              <w:t xml:space="preserve">Number of new listings </w:t>
            </w:r>
            <w:r w:rsidR="0046094B">
              <w:rPr>
                <w:rFonts w:ascii="Arial" w:hAnsi="Arial" w:cs="Arial"/>
                <w:sz w:val="20"/>
                <w:szCs w:val="20"/>
              </w:rPr>
              <w:t>(total)</w:t>
            </w:r>
          </w:p>
        </w:tc>
        <w:tc>
          <w:tcPr>
            <w:tcW w:w="3118" w:type="dxa"/>
          </w:tcPr>
          <w:p w14:paraId="1C75F6C3" w14:textId="7149FFF8" w:rsidR="00217D28" w:rsidRPr="00D1634A" w:rsidRDefault="0046094B"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748856AD" w14:textId="1F77EC43" w:rsidR="00217D28" w:rsidRPr="00D56B44" w:rsidRDefault="0046094B" w:rsidP="00DA7135">
            <w:pPr>
              <w:spacing w:line="247" w:lineRule="auto"/>
              <w:rPr>
                <w:rFonts w:ascii="Arial" w:hAnsi="Arial" w:cs="Arial"/>
                <w:sz w:val="20"/>
                <w:szCs w:val="20"/>
              </w:rPr>
            </w:pPr>
            <w:r>
              <w:rPr>
                <w:rFonts w:ascii="Arial" w:hAnsi="Arial" w:cs="Arial"/>
                <w:sz w:val="20"/>
                <w:szCs w:val="20"/>
              </w:rPr>
              <w:t>Annual</w:t>
            </w:r>
          </w:p>
        </w:tc>
      </w:tr>
      <w:bookmarkEnd w:id="0"/>
      <w:tr w:rsidR="009407A0" w:rsidRPr="00D56B44" w14:paraId="704DB063" w14:textId="77777777" w:rsidTr="00B617D6">
        <w:tc>
          <w:tcPr>
            <w:tcW w:w="8359" w:type="dxa"/>
          </w:tcPr>
          <w:p w14:paraId="6B687ACD" w14:textId="77777777"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(Domestic)</w:t>
            </w:r>
          </w:p>
        </w:tc>
        <w:tc>
          <w:tcPr>
            <w:tcW w:w="3118" w:type="dxa"/>
          </w:tcPr>
          <w:p w14:paraId="12E0CBF2" w14:textId="2D96C346" w:rsidR="009407A0" w:rsidRPr="00D56B44" w:rsidRDefault="009407A0" w:rsidP="00DA7135">
            <w:pPr>
              <w:spacing w:line="247" w:lineRule="auto"/>
              <w:rPr>
                <w:rFonts w:ascii="Arial" w:hAnsi="Arial" w:cs="Arial"/>
                <w:sz w:val="20"/>
                <w:szCs w:val="20"/>
              </w:rPr>
            </w:pPr>
            <w:r w:rsidRPr="00D1634A">
              <w:rPr>
                <w:rFonts w:ascii="Arial" w:eastAsia="Times New Roman" w:hAnsi="Arial" w:cs="Arial"/>
                <w:color w:val="000000"/>
                <w:sz w:val="20"/>
                <w:szCs w:val="20"/>
                <w:lang w:eastAsia="en-GB"/>
              </w:rPr>
              <w:t>Full number</w:t>
            </w:r>
          </w:p>
        </w:tc>
        <w:tc>
          <w:tcPr>
            <w:tcW w:w="2410" w:type="dxa"/>
          </w:tcPr>
          <w:p w14:paraId="223BEF07" w14:textId="692A3283"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Annual</w:t>
            </w:r>
          </w:p>
        </w:tc>
      </w:tr>
      <w:tr w:rsidR="009407A0" w:rsidRPr="00D56B44" w14:paraId="188C9200" w14:textId="77777777" w:rsidTr="00B617D6">
        <w:tc>
          <w:tcPr>
            <w:tcW w:w="8359" w:type="dxa"/>
          </w:tcPr>
          <w:p w14:paraId="6F74C5CA" w14:textId="77777777"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(Foreign)</w:t>
            </w:r>
          </w:p>
        </w:tc>
        <w:tc>
          <w:tcPr>
            <w:tcW w:w="3118" w:type="dxa"/>
          </w:tcPr>
          <w:p w14:paraId="6FFB0B50" w14:textId="0BCE2FD9" w:rsidR="009407A0" w:rsidRPr="00D56B44" w:rsidRDefault="009407A0" w:rsidP="00DA7135">
            <w:pPr>
              <w:spacing w:line="247" w:lineRule="auto"/>
              <w:rPr>
                <w:rFonts w:ascii="Arial" w:hAnsi="Arial" w:cs="Arial"/>
                <w:sz w:val="20"/>
                <w:szCs w:val="20"/>
              </w:rPr>
            </w:pPr>
            <w:r w:rsidRPr="00D1634A">
              <w:rPr>
                <w:rFonts w:ascii="Arial" w:eastAsia="Times New Roman" w:hAnsi="Arial" w:cs="Arial"/>
                <w:color w:val="000000"/>
                <w:sz w:val="20"/>
                <w:szCs w:val="20"/>
                <w:lang w:eastAsia="en-GB"/>
              </w:rPr>
              <w:t>Full number</w:t>
            </w:r>
          </w:p>
        </w:tc>
        <w:tc>
          <w:tcPr>
            <w:tcW w:w="2410" w:type="dxa"/>
          </w:tcPr>
          <w:p w14:paraId="6DD4D216" w14:textId="56B16EF8"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Annual</w:t>
            </w:r>
          </w:p>
        </w:tc>
      </w:tr>
      <w:tr w:rsidR="0046094B" w:rsidRPr="00D56B44" w14:paraId="2EE76F8B" w14:textId="77777777" w:rsidTr="00B617D6">
        <w:tc>
          <w:tcPr>
            <w:tcW w:w="8359" w:type="dxa"/>
          </w:tcPr>
          <w:p w14:paraId="06B361F3" w14:textId="2416E446" w:rsidR="0046094B" w:rsidRPr="00D56B44" w:rsidRDefault="0046094B" w:rsidP="00DA7135">
            <w:pPr>
              <w:spacing w:line="247" w:lineRule="auto"/>
              <w:rPr>
                <w:rFonts w:ascii="Arial" w:hAnsi="Arial" w:cs="Arial"/>
                <w:sz w:val="20"/>
                <w:szCs w:val="20"/>
              </w:rPr>
            </w:pPr>
            <w:r>
              <w:rPr>
                <w:rFonts w:ascii="Arial" w:hAnsi="Arial" w:cs="Arial"/>
                <w:sz w:val="20"/>
                <w:szCs w:val="20"/>
              </w:rPr>
              <w:t xml:space="preserve">Number of </w:t>
            </w:r>
            <w:proofErr w:type="spellStart"/>
            <w:r>
              <w:rPr>
                <w:rFonts w:ascii="Arial" w:hAnsi="Arial" w:cs="Arial"/>
                <w:sz w:val="20"/>
                <w:szCs w:val="20"/>
              </w:rPr>
              <w:t>delistings</w:t>
            </w:r>
            <w:proofErr w:type="spellEnd"/>
            <w:r>
              <w:rPr>
                <w:rFonts w:ascii="Arial" w:hAnsi="Arial" w:cs="Arial"/>
                <w:sz w:val="20"/>
                <w:szCs w:val="20"/>
              </w:rPr>
              <w:t xml:space="preserve"> (Total)</w:t>
            </w:r>
          </w:p>
        </w:tc>
        <w:tc>
          <w:tcPr>
            <w:tcW w:w="3118" w:type="dxa"/>
          </w:tcPr>
          <w:p w14:paraId="2AC148D9" w14:textId="6AD73A72" w:rsidR="0046094B" w:rsidRPr="00D1634A" w:rsidRDefault="0046094B"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54146EB1" w14:textId="591A52FD" w:rsidR="0046094B" w:rsidRPr="00D56B44" w:rsidRDefault="0046094B" w:rsidP="00DA7135">
            <w:pPr>
              <w:spacing w:line="247" w:lineRule="auto"/>
              <w:rPr>
                <w:rFonts w:ascii="Arial" w:hAnsi="Arial" w:cs="Arial"/>
                <w:sz w:val="20"/>
                <w:szCs w:val="20"/>
              </w:rPr>
            </w:pPr>
            <w:r>
              <w:rPr>
                <w:rFonts w:ascii="Arial" w:hAnsi="Arial" w:cs="Arial"/>
                <w:sz w:val="20"/>
                <w:szCs w:val="20"/>
              </w:rPr>
              <w:t>Annual</w:t>
            </w:r>
          </w:p>
        </w:tc>
      </w:tr>
      <w:tr w:rsidR="009407A0" w:rsidRPr="00D56B44" w14:paraId="7F0E191C" w14:textId="77777777" w:rsidTr="00B617D6">
        <w:tc>
          <w:tcPr>
            <w:tcW w:w="8359" w:type="dxa"/>
          </w:tcPr>
          <w:p w14:paraId="63C9D527"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through IPO (Newly issued shares)</w:t>
            </w:r>
          </w:p>
        </w:tc>
        <w:tc>
          <w:tcPr>
            <w:tcW w:w="3118" w:type="dxa"/>
          </w:tcPr>
          <w:p w14:paraId="02798536" w14:textId="1C18A5EC"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51031A20" w14:textId="4A82440D"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076C8D64" w14:textId="77777777" w:rsidTr="00B617D6">
        <w:tc>
          <w:tcPr>
            <w:tcW w:w="8359" w:type="dxa"/>
          </w:tcPr>
          <w:p w14:paraId="5AE63F0E"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through IPO (Already issued shares)</w:t>
            </w:r>
          </w:p>
        </w:tc>
        <w:tc>
          <w:tcPr>
            <w:tcW w:w="3118" w:type="dxa"/>
          </w:tcPr>
          <w:p w14:paraId="00A67981" w14:textId="78A216AA"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4E0DEDE7" w14:textId="5228C1FA"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1FDF8644" w14:textId="77777777" w:rsidTr="00B617D6">
        <w:tc>
          <w:tcPr>
            <w:tcW w:w="8359" w:type="dxa"/>
          </w:tcPr>
          <w:p w14:paraId="6A78D9F7"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through IPO (Total)</w:t>
            </w:r>
          </w:p>
        </w:tc>
        <w:tc>
          <w:tcPr>
            <w:tcW w:w="3118" w:type="dxa"/>
          </w:tcPr>
          <w:p w14:paraId="18F0FD16" w14:textId="7D4C6B7B"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394ED21D" w14:textId="367DF371"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452F043E" w14:textId="77777777" w:rsidTr="00B617D6">
        <w:tc>
          <w:tcPr>
            <w:tcW w:w="8359" w:type="dxa"/>
          </w:tcPr>
          <w:p w14:paraId="5D2EAF79"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by already listed companies (Newly issued shares)</w:t>
            </w:r>
          </w:p>
        </w:tc>
        <w:tc>
          <w:tcPr>
            <w:tcW w:w="3118" w:type="dxa"/>
          </w:tcPr>
          <w:p w14:paraId="495999F6" w14:textId="77C44FAE"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630EADD1" w14:textId="3466084F"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72474202" w14:textId="77777777" w:rsidTr="00B617D6">
        <w:tc>
          <w:tcPr>
            <w:tcW w:w="8359" w:type="dxa"/>
          </w:tcPr>
          <w:p w14:paraId="37C285C8"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by already listed companies (Already issued shares)</w:t>
            </w:r>
          </w:p>
        </w:tc>
        <w:tc>
          <w:tcPr>
            <w:tcW w:w="3118" w:type="dxa"/>
          </w:tcPr>
          <w:p w14:paraId="5309595F" w14:textId="4131CC1C"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3C931988" w14:textId="3480FA26"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6D8C7E4D" w14:textId="77777777" w:rsidTr="00B617D6">
        <w:tc>
          <w:tcPr>
            <w:tcW w:w="8359" w:type="dxa"/>
          </w:tcPr>
          <w:p w14:paraId="32BC2B22"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by already listed companies (Total)</w:t>
            </w:r>
          </w:p>
        </w:tc>
        <w:tc>
          <w:tcPr>
            <w:tcW w:w="3118" w:type="dxa"/>
          </w:tcPr>
          <w:p w14:paraId="34F73173" w14:textId="2E70186D"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77CF7A1C" w14:textId="75861C43"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C64124" w:rsidRPr="00D56B44" w14:paraId="3DCCED72" w14:textId="77777777" w:rsidTr="00B617D6">
        <w:tc>
          <w:tcPr>
            <w:tcW w:w="8359" w:type="dxa"/>
          </w:tcPr>
          <w:p w14:paraId="5227E492" w14:textId="703275EF" w:rsidR="00C64124" w:rsidRPr="00EE3FF7"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Capital raised (Total)</w:t>
            </w:r>
          </w:p>
        </w:tc>
        <w:tc>
          <w:tcPr>
            <w:tcW w:w="3118" w:type="dxa"/>
          </w:tcPr>
          <w:p w14:paraId="5F789937" w14:textId="2BF813DB" w:rsidR="00C64124" w:rsidRPr="00940492" w:rsidRDefault="00C64124"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309ACD90" w14:textId="671E8270" w:rsidR="00C64124" w:rsidRPr="003E7A04" w:rsidRDefault="00C64124"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C64124" w:rsidRPr="00D56B44" w14:paraId="30CC46DC" w14:textId="77777777" w:rsidTr="0001525E">
        <w:tc>
          <w:tcPr>
            <w:tcW w:w="8359" w:type="dxa"/>
          </w:tcPr>
          <w:p w14:paraId="7E26F9E6" w14:textId="77777777" w:rsidR="00C64124" w:rsidRPr="00EE3FF7" w:rsidRDefault="00C64124"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trading days</w:t>
            </w:r>
          </w:p>
        </w:tc>
        <w:tc>
          <w:tcPr>
            <w:tcW w:w="3118" w:type="dxa"/>
          </w:tcPr>
          <w:p w14:paraId="384DEE2E" w14:textId="77777777" w:rsidR="00C64124" w:rsidRPr="003E7A04"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20B73DD8" w14:textId="77777777" w:rsidR="00C64124" w:rsidRPr="00D56B44" w:rsidRDefault="00C64124"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C64124" w:rsidRPr="00D56B44" w14:paraId="78F51451" w14:textId="77777777" w:rsidTr="0001525E">
        <w:tc>
          <w:tcPr>
            <w:tcW w:w="8359" w:type="dxa"/>
            <w:vAlign w:val="bottom"/>
          </w:tcPr>
          <w:p w14:paraId="0D25A5AE" w14:textId="2AE51609"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market cap of the 5% most capitalised domestic co.</w:t>
            </w:r>
          </w:p>
        </w:tc>
        <w:tc>
          <w:tcPr>
            <w:tcW w:w="3118" w:type="dxa"/>
          </w:tcPr>
          <w:p w14:paraId="7851CD7D" w14:textId="6E7BBD0F"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754526F9" w14:textId="6ED5BAAD" w:rsidR="00C64124" w:rsidRPr="003E7A04"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w:t>
            </w:r>
          </w:p>
        </w:tc>
      </w:tr>
      <w:tr w:rsidR="00C64124" w:rsidRPr="00D56B44" w14:paraId="52999390" w14:textId="77777777" w:rsidTr="0001525E">
        <w:tc>
          <w:tcPr>
            <w:tcW w:w="8359" w:type="dxa"/>
            <w:vAlign w:val="bottom"/>
          </w:tcPr>
          <w:p w14:paraId="0C8913BA" w14:textId="318B12FD"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trading value of the 5% most traded domestic co.</w:t>
            </w:r>
          </w:p>
        </w:tc>
        <w:tc>
          <w:tcPr>
            <w:tcW w:w="3118" w:type="dxa"/>
          </w:tcPr>
          <w:p w14:paraId="01C67BEC" w14:textId="6759953B"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368CCCCD" w14:textId="5A4FE354"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3EECF873" w14:textId="77777777" w:rsidTr="0001525E">
        <w:tc>
          <w:tcPr>
            <w:tcW w:w="8359" w:type="dxa"/>
            <w:vAlign w:val="bottom"/>
          </w:tcPr>
          <w:p w14:paraId="1237EFDB" w14:textId="3F6444D5"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market cap of the top 10 most capitalised domestic co.</w:t>
            </w:r>
          </w:p>
        </w:tc>
        <w:tc>
          <w:tcPr>
            <w:tcW w:w="3118" w:type="dxa"/>
          </w:tcPr>
          <w:p w14:paraId="06F968D2" w14:textId="72BED3EB"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293705F9" w14:textId="45D105B3"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365355D3" w14:textId="77777777" w:rsidTr="0001525E">
        <w:tc>
          <w:tcPr>
            <w:tcW w:w="8359" w:type="dxa"/>
            <w:vAlign w:val="bottom"/>
          </w:tcPr>
          <w:p w14:paraId="265247AC" w14:textId="04B17FD1"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trading value of the top 10 most traded domestic co.</w:t>
            </w:r>
          </w:p>
        </w:tc>
        <w:tc>
          <w:tcPr>
            <w:tcW w:w="3118" w:type="dxa"/>
          </w:tcPr>
          <w:p w14:paraId="3D944A95" w14:textId="1DD4D642"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7CFDF956" w14:textId="7ED48B5A"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52338274" w14:textId="77777777" w:rsidTr="00B617D6">
        <w:tc>
          <w:tcPr>
            <w:tcW w:w="8359" w:type="dxa"/>
          </w:tcPr>
          <w:p w14:paraId="706C2417" w14:textId="732B74EC" w:rsidR="00C64124" w:rsidRPr="00EE3FF7"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Number of trading participants</w:t>
            </w:r>
          </w:p>
        </w:tc>
        <w:tc>
          <w:tcPr>
            <w:tcW w:w="3118" w:type="dxa"/>
          </w:tcPr>
          <w:p w14:paraId="7FB18D13" w14:textId="73968767"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597E0285" w14:textId="3AF2E80B"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5D5667F0" w14:textId="77777777" w:rsidTr="0001525E">
        <w:tc>
          <w:tcPr>
            <w:tcW w:w="8359" w:type="dxa"/>
          </w:tcPr>
          <w:p w14:paraId="22C06D97" w14:textId="77777777" w:rsidR="00C64124" w:rsidRPr="00EE3FF7"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Share turnover velocity</w:t>
            </w:r>
          </w:p>
        </w:tc>
        <w:tc>
          <w:tcPr>
            <w:tcW w:w="3118" w:type="dxa"/>
          </w:tcPr>
          <w:p w14:paraId="4B38ED1B" w14:textId="77777777" w:rsidR="00C64124" w:rsidRPr="00381FE8"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61ED07F0" w14:textId="77777777" w:rsidR="00C64124" w:rsidRPr="00D56B44" w:rsidRDefault="00C64124"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F37ABE" w:rsidRPr="00D56B44" w14:paraId="7AA4664F" w14:textId="77777777" w:rsidTr="0065536D">
        <w:tc>
          <w:tcPr>
            <w:tcW w:w="8359" w:type="dxa"/>
          </w:tcPr>
          <w:p w14:paraId="05F501ED" w14:textId="41253B33"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Number of listed domestic co. with share listed distributing dividends during the year</w:t>
            </w:r>
          </w:p>
        </w:tc>
        <w:tc>
          <w:tcPr>
            <w:tcW w:w="3118" w:type="dxa"/>
            <w:vAlign w:val="bottom"/>
          </w:tcPr>
          <w:p w14:paraId="23579ED7" w14:textId="4C5CE5F3"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Full number</w:t>
            </w:r>
          </w:p>
        </w:tc>
        <w:tc>
          <w:tcPr>
            <w:tcW w:w="2410" w:type="dxa"/>
          </w:tcPr>
          <w:p w14:paraId="73756B5B" w14:textId="22EE6DA0" w:rsidR="00F37ABE" w:rsidRPr="00381FE8"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szCs w:val="20"/>
              </w:rPr>
              <w:t>Annual</w:t>
            </w:r>
          </w:p>
        </w:tc>
      </w:tr>
      <w:tr w:rsidR="00F37ABE" w:rsidRPr="00D56B44" w14:paraId="18C56CF9" w14:textId="77777777" w:rsidTr="0065536D">
        <w:tc>
          <w:tcPr>
            <w:tcW w:w="8359" w:type="dxa"/>
          </w:tcPr>
          <w:p w14:paraId="25D757CF" w14:textId="2FF05E81"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Total amount of net dividend paid during the year</w:t>
            </w:r>
          </w:p>
        </w:tc>
        <w:tc>
          <w:tcPr>
            <w:tcW w:w="3118" w:type="dxa"/>
            <w:vAlign w:val="bottom"/>
          </w:tcPr>
          <w:p w14:paraId="515071A5" w14:textId="33664A5D"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Monetary ( 000 000 )</w:t>
            </w:r>
          </w:p>
        </w:tc>
        <w:tc>
          <w:tcPr>
            <w:tcW w:w="2410" w:type="dxa"/>
          </w:tcPr>
          <w:p w14:paraId="1624B1CB" w14:textId="763FA0E8"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F37ABE" w:rsidRPr="00D56B44" w14:paraId="2BEF9370" w14:textId="77777777" w:rsidTr="0065536D">
        <w:tc>
          <w:tcPr>
            <w:tcW w:w="8359" w:type="dxa"/>
          </w:tcPr>
          <w:p w14:paraId="2A0E8BA5" w14:textId="020CDD4B"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Total amount of gross dividend paid during the year</w:t>
            </w:r>
          </w:p>
        </w:tc>
        <w:tc>
          <w:tcPr>
            <w:tcW w:w="3118" w:type="dxa"/>
            <w:vAlign w:val="bottom"/>
          </w:tcPr>
          <w:p w14:paraId="0B0FF0D7" w14:textId="42924736"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Monetary ( 000 000 )</w:t>
            </w:r>
          </w:p>
        </w:tc>
        <w:tc>
          <w:tcPr>
            <w:tcW w:w="2410" w:type="dxa"/>
          </w:tcPr>
          <w:p w14:paraId="7D972EE9" w14:textId="00C2A89B"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F37ABE" w:rsidRPr="00D56B44" w14:paraId="3CDA266A" w14:textId="77777777" w:rsidTr="0065536D">
        <w:tc>
          <w:tcPr>
            <w:tcW w:w="8359" w:type="dxa"/>
          </w:tcPr>
          <w:p w14:paraId="3A238989" w14:textId="46CAFF73"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Gross dividend yield</w:t>
            </w:r>
          </w:p>
        </w:tc>
        <w:tc>
          <w:tcPr>
            <w:tcW w:w="3118" w:type="dxa"/>
            <w:vAlign w:val="bottom"/>
          </w:tcPr>
          <w:p w14:paraId="0060323A" w14:textId="74B6C102"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Percentage</w:t>
            </w:r>
          </w:p>
        </w:tc>
        <w:tc>
          <w:tcPr>
            <w:tcW w:w="2410" w:type="dxa"/>
          </w:tcPr>
          <w:p w14:paraId="05738C4D" w14:textId="2217540D"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F37ABE" w:rsidRPr="00D56B44" w14:paraId="23762CE1" w14:textId="77777777" w:rsidTr="0065536D">
        <w:tc>
          <w:tcPr>
            <w:tcW w:w="8359" w:type="dxa"/>
          </w:tcPr>
          <w:p w14:paraId="50482650" w14:textId="740046F8"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Net dividend yield</w:t>
            </w:r>
          </w:p>
        </w:tc>
        <w:tc>
          <w:tcPr>
            <w:tcW w:w="3118" w:type="dxa"/>
            <w:vAlign w:val="bottom"/>
          </w:tcPr>
          <w:p w14:paraId="7AF29DC8" w14:textId="49AF868A"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Percentage</w:t>
            </w:r>
          </w:p>
        </w:tc>
        <w:tc>
          <w:tcPr>
            <w:tcW w:w="2410" w:type="dxa"/>
          </w:tcPr>
          <w:p w14:paraId="489BFE43" w14:textId="6DC92C14"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E13104" w:rsidRPr="00D56B44" w14:paraId="4ED9A014" w14:textId="77777777" w:rsidTr="0001525E">
        <w:tc>
          <w:tcPr>
            <w:tcW w:w="8359" w:type="dxa"/>
          </w:tcPr>
          <w:p w14:paraId="08369671" w14:textId="32F02EBA" w:rsidR="00E13104" w:rsidRPr="002B599D" w:rsidRDefault="00725280" w:rsidP="00F37ABE">
            <w:pPr>
              <w:spacing w:line="247" w:lineRule="auto"/>
              <w:rPr>
                <w:rFonts w:ascii="Arial" w:hAnsi="Arial" w:cs="Arial"/>
                <w:sz w:val="20"/>
              </w:rPr>
            </w:pPr>
            <w:r w:rsidRPr="000B331A">
              <w:rPr>
                <w:rFonts w:ascii="Arial" w:hAnsi="Arial" w:cs="Arial"/>
                <w:sz w:val="20"/>
              </w:rPr>
              <w:lastRenderedPageBreak/>
              <w:t>Average of the market Price/</w:t>
            </w:r>
            <w:proofErr w:type="spellStart"/>
            <w:r w:rsidRPr="000B331A">
              <w:rPr>
                <w:rFonts w:ascii="Arial" w:hAnsi="Arial" w:cs="Arial"/>
                <w:sz w:val="20"/>
              </w:rPr>
              <w:t>Earning</w:t>
            </w:r>
            <w:proofErr w:type="spellEnd"/>
            <w:r w:rsidRPr="000B331A">
              <w:rPr>
                <w:rFonts w:ascii="Arial" w:hAnsi="Arial" w:cs="Arial"/>
                <w:sz w:val="20"/>
              </w:rPr>
              <w:t xml:space="preserve"> Ratio (PER) at year-end</w:t>
            </w:r>
          </w:p>
        </w:tc>
        <w:tc>
          <w:tcPr>
            <w:tcW w:w="3118" w:type="dxa"/>
            <w:vAlign w:val="bottom"/>
          </w:tcPr>
          <w:p w14:paraId="31362E17" w14:textId="7990A7C5" w:rsidR="00E13104" w:rsidRPr="002B599D" w:rsidRDefault="00A74D9F" w:rsidP="00F37ABE">
            <w:pPr>
              <w:spacing w:line="247" w:lineRule="auto"/>
              <w:rPr>
                <w:rFonts w:ascii="Arial" w:hAnsi="Arial" w:cs="Arial"/>
                <w:color w:val="000000"/>
                <w:sz w:val="20"/>
                <w:szCs w:val="20"/>
              </w:rPr>
            </w:pPr>
            <w:r>
              <w:rPr>
                <w:rFonts w:ascii="Arial" w:hAnsi="Arial" w:cs="Arial"/>
                <w:color w:val="000000"/>
                <w:sz w:val="20"/>
                <w:szCs w:val="20"/>
              </w:rPr>
              <w:t xml:space="preserve">Decimal </w:t>
            </w:r>
          </w:p>
        </w:tc>
        <w:tc>
          <w:tcPr>
            <w:tcW w:w="2410" w:type="dxa"/>
          </w:tcPr>
          <w:p w14:paraId="0692F550" w14:textId="5CF078ED" w:rsidR="00E13104" w:rsidRPr="00E14965" w:rsidRDefault="00A74D9F" w:rsidP="00F37ABE">
            <w:pPr>
              <w:spacing w:line="247" w:lineRule="auto"/>
              <w:rPr>
                <w:rFonts w:ascii="Arial" w:hAnsi="Arial" w:cs="Arial"/>
                <w:sz w:val="20"/>
                <w:szCs w:val="20"/>
              </w:rPr>
            </w:pPr>
            <w:r>
              <w:rPr>
                <w:rFonts w:ascii="Arial" w:hAnsi="Arial" w:cs="Arial"/>
                <w:sz w:val="20"/>
                <w:szCs w:val="20"/>
              </w:rPr>
              <w:t>Annual</w:t>
            </w:r>
          </w:p>
        </w:tc>
      </w:tr>
      <w:tr w:rsidR="00F37ABE" w:rsidRPr="00D56B44" w14:paraId="721BBBDA" w14:textId="77777777" w:rsidTr="0001525E">
        <w:tc>
          <w:tcPr>
            <w:tcW w:w="13887" w:type="dxa"/>
            <w:gridSpan w:val="3"/>
          </w:tcPr>
          <w:p w14:paraId="5F379353" w14:textId="3F6A840D" w:rsidR="00F37ABE" w:rsidRPr="00940462" w:rsidRDefault="00F37ABE" w:rsidP="00F37ABE">
            <w:pPr>
              <w:spacing w:line="247" w:lineRule="auto"/>
              <w:rPr>
                <w:rFonts w:ascii="Arial" w:eastAsia="Times New Roman" w:hAnsi="Arial" w:cs="Arial"/>
                <w:color w:val="000000"/>
                <w:sz w:val="20"/>
                <w:szCs w:val="20"/>
                <w:lang w:eastAsia="en-GB"/>
              </w:rPr>
            </w:pPr>
          </w:p>
        </w:tc>
      </w:tr>
      <w:tr w:rsidR="00EC24EF" w:rsidRPr="00D56B44" w14:paraId="6C525982" w14:textId="77777777" w:rsidTr="0001525E">
        <w:tc>
          <w:tcPr>
            <w:tcW w:w="13887" w:type="dxa"/>
            <w:gridSpan w:val="3"/>
          </w:tcPr>
          <w:p w14:paraId="1525F5C6" w14:textId="77777777" w:rsidR="00EC24EF" w:rsidRPr="00940462" w:rsidRDefault="00EC24EF" w:rsidP="00F37ABE">
            <w:pPr>
              <w:spacing w:line="247" w:lineRule="auto"/>
              <w:rPr>
                <w:rFonts w:ascii="Arial" w:eastAsia="Times New Roman" w:hAnsi="Arial" w:cs="Arial"/>
                <w:color w:val="000000"/>
                <w:sz w:val="20"/>
                <w:szCs w:val="20"/>
                <w:lang w:eastAsia="en-GB"/>
              </w:rPr>
            </w:pPr>
          </w:p>
        </w:tc>
      </w:tr>
      <w:tr w:rsidR="00F37ABE" w:rsidRPr="00D56B44" w14:paraId="75362010" w14:textId="77777777" w:rsidTr="0001525E">
        <w:tc>
          <w:tcPr>
            <w:tcW w:w="13887" w:type="dxa"/>
            <w:gridSpan w:val="3"/>
            <w:shd w:val="clear" w:color="auto" w:fill="8EAADB" w:themeFill="accent1" w:themeFillTint="99"/>
          </w:tcPr>
          <w:p w14:paraId="2FD76478" w14:textId="16A3CFDE"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F37ABE" w:rsidRPr="00866EBC" w14:paraId="2ED7794B" w14:textId="77777777" w:rsidTr="00136624">
        <w:trPr>
          <w:trHeight w:val="393"/>
        </w:trPr>
        <w:tc>
          <w:tcPr>
            <w:tcW w:w="13887" w:type="dxa"/>
            <w:gridSpan w:val="3"/>
            <w:shd w:val="clear" w:color="auto" w:fill="auto"/>
            <w:vAlign w:val="center"/>
          </w:tcPr>
          <w:p w14:paraId="166153C5" w14:textId="7E155E38" w:rsidR="00F37ABE" w:rsidRPr="00866EBC" w:rsidRDefault="00866EBC" w:rsidP="00F37ABE">
            <w:pPr>
              <w:spacing w:line="247" w:lineRule="auto"/>
              <w:rPr>
                <w:rFonts w:ascii="Arial" w:hAnsi="Arial" w:cs="Arial"/>
                <w:b/>
                <w:bCs/>
                <w:smallCaps/>
                <w:color w:val="002060"/>
                <w:sz w:val="20"/>
                <w:szCs w:val="20"/>
                <w:u w:val="single"/>
              </w:rPr>
            </w:pPr>
            <w:r w:rsidRPr="00866EBC">
              <w:rPr>
                <w:rFonts w:ascii="Arial" w:hAnsi="Arial" w:cs="Arial"/>
                <w:b/>
                <w:bCs/>
                <w:smallCaps/>
                <w:color w:val="002060"/>
                <w:sz w:val="20"/>
                <w:szCs w:val="20"/>
                <w:u w:val="single"/>
              </w:rPr>
              <w:fldChar w:fldCharType="begin"/>
            </w:r>
            <w:r w:rsidRPr="00866EBC">
              <w:rPr>
                <w:rFonts w:ascii="Arial" w:hAnsi="Arial" w:cs="Arial"/>
                <w:b/>
                <w:bCs/>
                <w:smallCaps/>
                <w:color w:val="002060"/>
                <w:sz w:val="20"/>
                <w:szCs w:val="20"/>
                <w:u w:val="single"/>
              </w:rPr>
              <w:instrText xml:space="preserve"> REF _Ref14258669 \h  \* MERGEFORMAT </w:instrText>
            </w:r>
            <w:r w:rsidRPr="00866EBC">
              <w:rPr>
                <w:rFonts w:ascii="Arial" w:hAnsi="Arial" w:cs="Arial"/>
                <w:b/>
                <w:bCs/>
                <w:smallCaps/>
                <w:color w:val="002060"/>
                <w:sz w:val="20"/>
                <w:szCs w:val="20"/>
                <w:u w:val="single"/>
              </w:rPr>
            </w:r>
            <w:r w:rsidRPr="00866EBC">
              <w:rPr>
                <w:rFonts w:ascii="Arial" w:hAnsi="Arial" w:cs="Arial"/>
                <w:b/>
                <w:bCs/>
                <w:smallCaps/>
                <w:color w:val="002060"/>
                <w:sz w:val="20"/>
                <w:szCs w:val="20"/>
                <w:u w:val="single"/>
              </w:rPr>
              <w:fldChar w:fldCharType="separate"/>
            </w:r>
            <w:r w:rsidR="0094528E" w:rsidRPr="0094528E">
              <w:rPr>
                <w:rFonts w:ascii="Arial" w:hAnsi="Arial" w:cs="Arial"/>
                <w:b/>
                <w:bCs/>
                <w:i/>
                <w:iCs/>
                <w:color w:val="002060"/>
                <w:sz w:val="20"/>
                <w:szCs w:val="20"/>
                <w:u w:val="single"/>
              </w:rPr>
              <w:t>Alternative &amp; SME</w:t>
            </w:r>
            <w:r w:rsidRPr="00866EBC">
              <w:rPr>
                <w:rFonts w:ascii="Arial" w:hAnsi="Arial" w:cs="Arial"/>
                <w:b/>
                <w:bCs/>
                <w:smallCaps/>
                <w:color w:val="002060"/>
                <w:sz w:val="20"/>
                <w:szCs w:val="20"/>
                <w:u w:val="single"/>
              </w:rPr>
              <w:fldChar w:fldCharType="end"/>
            </w:r>
          </w:p>
        </w:tc>
      </w:tr>
      <w:tr w:rsidR="00F37ABE" w:rsidRPr="00D56B44" w14:paraId="373AA0BB" w14:textId="77777777" w:rsidTr="00B617D6">
        <w:tc>
          <w:tcPr>
            <w:tcW w:w="8359" w:type="dxa"/>
            <w:shd w:val="clear" w:color="auto" w:fill="D9E2F3" w:themeFill="accent1" w:themeFillTint="33"/>
          </w:tcPr>
          <w:p w14:paraId="0E84848E"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5F50E165" w14:textId="18E5AF01"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0CDDE22D" w14:textId="60B00EBC"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07F14827" w14:textId="77777777" w:rsidTr="00B617D6">
        <w:tc>
          <w:tcPr>
            <w:tcW w:w="8359" w:type="dxa"/>
            <w:shd w:val="clear" w:color="auto" w:fill="auto"/>
          </w:tcPr>
          <w:p w14:paraId="1B550C16" w14:textId="38B4C199"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Market capitalisation</w:t>
            </w:r>
          </w:p>
        </w:tc>
        <w:tc>
          <w:tcPr>
            <w:tcW w:w="3118" w:type="dxa"/>
          </w:tcPr>
          <w:p w14:paraId="083ABEFC" w14:textId="113B708D" w:rsidR="00F37ABE" w:rsidRPr="00D56B44" w:rsidRDefault="00F37ABE" w:rsidP="00F37ABE">
            <w:pPr>
              <w:spacing w:line="247" w:lineRule="auto"/>
              <w:rPr>
                <w:rFonts w:ascii="Arial" w:hAnsi="Arial" w:cs="Arial"/>
                <w:b/>
                <w:sz w:val="20"/>
                <w:szCs w:val="20"/>
              </w:rPr>
            </w:pPr>
            <w:r w:rsidRPr="00940492">
              <w:rPr>
                <w:rFonts w:ascii="Arial" w:eastAsia="Times New Roman" w:hAnsi="Arial" w:cs="Arial"/>
                <w:color w:val="000000"/>
                <w:sz w:val="20"/>
                <w:szCs w:val="20"/>
                <w:lang w:eastAsia="en-GB"/>
              </w:rPr>
              <w:t>Monetary (000 000)</w:t>
            </w:r>
          </w:p>
        </w:tc>
        <w:tc>
          <w:tcPr>
            <w:tcW w:w="2410" w:type="dxa"/>
            <w:shd w:val="clear" w:color="auto" w:fill="auto"/>
          </w:tcPr>
          <w:p w14:paraId="28BD79AA" w14:textId="71A4A79D"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6CEC4D5F" w14:textId="77777777" w:rsidTr="00B617D6">
        <w:tc>
          <w:tcPr>
            <w:tcW w:w="8359" w:type="dxa"/>
            <w:shd w:val="clear" w:color="auto" w:fill="auto"/>
          </w:tcPr>
          <w:p w14:paraId="4E69A807" w14:textId="0973EE64"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Number of listed companies (Domestic)</w:t>
            </w:r>
          </w:p>
        </w:tc>
        <w:tc>
          <w:tcPr>
            <w:tcW w:w="3118" w:type="dxa"/>
          </w:tcPr>
          <w:p w14:paraId="1952F9E2" w14:textId="38912B17" w:rsidR="00F37ABE" w:rsidRPr="00AA30A5" w:rsidRDefault="00F37ABE" w:rsidP="00F37ABE">
            <w:pPr>
              <w:spacing w:line="247" w:lineRule="auto"/>
              <w:rPr>
                <w:rFonts w:ascii="Arial" w:hAnsi="Arial" w:cs="Arial"/>
                <w:sz w:val="20"/>
                <w:szCs w:val="20"/>
              </w:rPr>
            </w:pPr>
            <w:r w:rsidRPr="00AA30A5">
              <w:rPr>
                <w:rFonts w:ascii="Arial" w:hAnsi="Arial" w:cs="Arial"/>
                <w:sz w:val="20"/>
                <w:szCs w:val="20"/>
              </w:rPr>
              <w:t>Full number</w:t>
            </w:r>
          </w:p>
        </w:tc>
        <w:tc>
          <w:tcPr>
            <w:tcW w:w="2410" w:type="dxa"/>
            <w:shd w:val="clear" w:color="auto" w:fill="auto"/>
          </w:tcPr>
          <w:p w14:paraId="466006A9" w14:textId="54BF2CEB"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3E62CE22" w14:textId="77777777" w:rsidTr="00B617D6">
        <w:tc>
          <w:tcPr>
            <w:tcW w:w="8359" w:type="dxa"/>
            <w:shd w:val="clear" w:color="auto" w:fill="auto"/>
          </w:tcPr>
          <w:p w14:paraId="40611665" w14:textId="3F8D23B5"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Number of listed companies (Foreign)</w:t>
            </w:r>
          </w:p>
        </w:tc>
        <w:tc>
          <w:tcPr>
            <w:tcW w:w="3118" w:type="dxa"/>
          </w:tcPr>
          <w:p w14:paraId="57CD7461" w14:textId="108D6800"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67A4F549" w14:textId="452B0904"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23D6AC0D" w14:textId="77777777" w:rsidTr="00B617D6">
        <w:tc>
          <w:tcPr>
            <w:tcW w:w="8359" w:type="dxa"/>
            <w:shd w:val="clear" w:color="auto" w:fill="auto"/>
          </w:tcPr>
          <w:p w14:paraId="6F8AB54E" w14:textId="03EE7F8D"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Number of listed companies (Total)</w:t>
            </w:r>
          </w:p>
        </w:tc>
        <w:tc>
          <w:tcPr>
            <w:tcW w:w="3118" w:type="dxa"/>
          </w:tcPr>
          <w:p w14:paraId="37881E5D" w14:textId="1BDB8D29"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375A7210" w14:textId="1F05A989"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50180A6D" w14:textId="77777777" w:rsidTr="00B617D6">
        <w:tc>
          <w:tcPr>
            <w:tcW w:w="8359" w:type="dxa"/>
            <w:shd w:val="clear" w:color="auto" w:fill="auto"/>
          </w:tcPr>
          <w:p w14:paraId="7D933933" w14:textId="06EB8348"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newly </w:t>
            </w:r>
            <w:r>
              <w:rPr>
                <w:rFonts w:ascii="Arial" w:hAnsi="Arial" w:cs="Arial"/>
                <w:sz w:val="20"/>
                <w:szCs w:val="20"/>
              </w:rPr>
              <w:t xml:space="preserve">listed </w:t>
            </w:r>
            <w:r w:rsidRPr="00D56B44">
              <w:rPr>
                <w:rFonts w:ascii="Arial" w:hAnsi="Arial" w:cs="Arial"/>
                <w:sz w:val="20"/>
                <w:szCs w:val="20"/>
              </w:rPr>
              <w:t>companies (Domestic)</w:t>
            </w:r>
          </w:p>
        </w:tc>
        <w:tc>
          <w:tcPr>
            <w:tcW w:w="3118" w:type="dxa"/>
          </w:tcPr>
          <w:p w14:paraId="793253DC" w14:textId="50C32A78"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14064880" w14:textId="3745A065"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33489EB3" w14:textId="77777777" w:rsidTr="00B617D6">
        <w:tc>
          <w:tcPr>
            <w:tcW w:w="8359" w:type="dxa"/>
            <w:shd w:val="clear" w:color="auto" w:fill="auto"/>
          </w:tcPr>
          <w:p w14:paraId="4554CCB7" w14:textId="6C86C728"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newly </w:t>
            </w:r>
            <w:r>
              <w:rPr>
                <w:rFonts w:ascii="Arial" w:hAnsi="Arial" w:cs="Arial"/>
                <w:sz w:val="20"/>
                <w:szCs w:val="20"/>
              </w:rPr>
              <w:t xml:space="preserve">listed </w:t>
            </w:r>
            <w:r w:rsidRPr="00D56B44">
              <w:rPr>
                <w:rFonts w:ascii="Arial" w:hAnsi="Arial" w:cs="Arial"/>
                <w:sz w:val="20"/>
                <w:szCs w:val="20"/>
              </w:rPr>
              <w:t>companies (Foreign)</w:t>
            </w:r>
          </w:p>
        </w:tc>
        <w:tc>
          <w:tcPr>
            <w:tcW w:w="3118" w:type="dxa"/>
          </w:tcPr>
          <w:p w14:paraId="129C2594" w14:textId="6A412FDB"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613E6F81" w14:textId="0527224E"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4FA5A296" w14:textId="77777777" w:rsidTr="00B617D6">
        <w:tc>
          <w:tcPr>
            <w:tcW w:w="8359" w:type="dxa"/>
            <w:shd w:val="clear" w:color="auto" w:fill="auto"/>
          </w:tcPr>
          <w:p w14:paraId="03FD1604" w14:textId="3B1693A3"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newly </w:t>
            </w:r>
            <w:r>
              <w:rPr>
                <w:rFonts w:ascii="Arial" w:hAnsi="Arial" w:cs="Arial"/>
                <w:sz w:val="20"/>
                <w:szCs w:val="20"/>
              </w:rPr>
              <w:t xml:space="preserve">listed </w:t>
            </w:r>
            <w:r w:rsidRPr="00D56B44">
              <w:rPr>
                <w:rFonts w:ascii="Arial" w:hAnsi="Arial" w:cs="Arial"/>
                <w:sz w:val="20"/>
                <w:szCs w:val="20"/>
              </w:rPr>
              <w:t>companies (Total)</w:t>
            </w:r>
          </w:p>
        </w:tc>
        <w:tc>
          <w:tcPr>
            <w:tcW w:w="3118" w:type="dxa"/>
          </w:tcPr>
          <w:p w14:paraId="6FAF87B2" w14:textId="61D5E4D6"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1F425AE4" w14:textId="495BB51F"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7A2C6E98" w14:textId="77777777" w:rsidTr="00B617D6">
        <w:tc>
          <w:tcPr>
            <w:tcW w:w="8359" w:type="dxa"/>
            <w:shd w:val="clear" w:color="auto" w:fill="auto"/>
          </w:tcPr>
          <w:p w14:paraId="205B3274" w14:textId="6A2D1882"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(Domestic)</w:t>
            </w:r>
          </w:p>
        </w:tc>
        <w:tc>
          <w:tcPr>
            <w:tcW w:w="3118" w:type="dxa"/>
          </w:tcPr>
          <w:p w14:paraId="76989FC6" w14:textId="65B8BE61"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65AB5D70" w14:textId="5E40353C"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688D856B" w14:textId="77777777" w:rsidTr="00B617D6">
        <w:tc>
          <w:tcPr>
            <w:tcW w:w="8359" w:type="dxa"/>
            <w:shd w:val="clear" w:color="auto" w:fill="auto"/>
          </w:tcPr>
          <w:p w14:paraId="159BC66A" w14:textId="5F1226D7"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(Foreign)</w:t>
            </w:r>
          </w:p>
        </w:tc>
        <w:tc>
          <w:tcPr>
            <w:tcW w:w="3118" w:type="dxa"/>
          </w:tcPr>
          <w:p w14:paraId="25A5D5FE" w14:textId="7B6C8ADE"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14179A77" w14:textId="604729DE"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5F9DD621" w14:textId="77777777" w:rsidTr="00B617D6">
        <w:tc>
          <w:tcPr>
            <w:tcW w:w="8359" w:type="dxa"/>
            <w:shd w:val="clear" w:color="auto" w:fill="auto"/>
          </w:tcPr>
          <w:p w14:paraId="184450EF" w14:textId="5668EA5C"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(Total)</w:t>
            </w:r>
          </w:p>
        </w:tc>
        <w:tc>
          <w:tcPr>
            <w:tcW w:w="3118" w:type="dxa"/>
          </w:tcPr>
          <w:p w14:paraId="25D1A508" w14:textId="0E185B9D"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0FE1AC5B" w14:textId="251E1925"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11F76A03" w14:textId="77777777" w:rsidTr="00B617D6">
        <w:tc>
          <w:tcPr>
            <w:tcW w:w="8359" w:type="dxa"/>
            <w:shd w:val="clear" w:color="auto" w:fill="auto"/>
          </w:tcPr>
          <w:p w14:paraId="452C9D3C" w14:textId="11F3A69D"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(EOB domestic)</w:t>
            </w:r>
          </w:p>
        </w:tc>
        <w:tc>
          <w:tcPr>
            <w:tcW w:w="3118" w:type="dxa"/>
          </w:tcPr>
          <w:p w14:paraId="1B3DE7C8" w14:textId="1EF96B98" w:rsidR="00F37ABE" w:rsidRPr="00D56B44" w:rsidRDefault="00F37ABE" w:rsidP="00F37ABE">
            <w:pPr>
              <w:spacing w:line="247" w:lineRule="auto"/>
              <w:rPr>
                <w:rFonts w:ascii="Arial" w:hAnsi="Arial" w:cs="Arial"/>
                <w:b/>
                <w:sz w:val="20"/>
                <w:szCs w:val="20"/>
              </w:rPr>
            </w:pPr>
            <w:r w:rsidRPr="00940492">
              <w:rPr>
                <w:rFonts w:ascii="Arial" w:eastAsia="Times New Roman" w:hAnsi="Arial" w:cs="Arial"/>
                <w:color w:val="000000"/>
                <w:sz w:val="20"/>
                <w:szCs w:val="20"/>
                <w:lang w:eastAsia="en-GB"/>
              </w:rPr>
              <w:t>Monetary (000 000)</w:t>
            </w:r>
          </w:p>
        </w:tc>
        <w:tc>
          <w:tcPr>
            <w:tcW w:w="2410" w:type="dxa"/>
            <w:shd w:val="clear" w:color="auto" w:fill="auto"/>
          </w:tcPr>
          <w:p w14:paraId="5B98DA31" w14:textId="6EB38C72"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5E5CEF09" w14:textId="77777777" w:rsidTr="00B617D6">
        <w:tc>
          <w:tcPr>
            <w:tcW w:w="8359" w:type="dxa"/>
            <w:shd w:val="clear" w:color="auto" w:fill="auto"/>
          </w:tcPr>
          <w:p w14:paraId="5BAAB142" w14:textId="4B4B8AAF"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(EOB foreign)</w:t>
            </w:r>
          </w:p>
        </w:tc>
        <w:tc>
          <w:tcPr>
            <w:tcW w:w="3118" w:type="dxa"/>
          </w:tcPr>
          <w:p w14:paraId="70077B35" w14:textId="7C64D960"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3E5F0559" w14:textId="791FE51A"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4008D064" w14:textId="77777777" w:rsidTr="00B617D6">
        <w:tc>
          <w:tcPr>
            <w:tcW w:w="8359" w:type="dxa"/>
            <w:shd w:val="clear" w:color="auto" w:fill="auto"/>
          </w:tcPr>
          <w:p w14:paraId="2E4B25F4" w14:textId="2C143783"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(EOB total)</w:t>
            </w:r>
          </w:p>
        </w:tc>
        <w:tc>
          <w:tcPr>
            <w:tcW w:w="3118" w:type="dxa"/>
          </w:tcPr>
          <w:p w14:paraId="7F71F89F" w14:textId="43F4244C"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13FBDAE2" w14:textId="57A501AB"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461A402A" w14:textId="77777777" w:rsidTr="00B617D6">
        <w:tc>
          <w:tcPr>
            <w:tcW w:w="8359" w:type="dxa"/>
            <w:shd w:val="clear" w:color="auto" w:fill="auto"/>
          </w:tcPr>
          <w:p w14:paraId="2D2F6053" w14:textId="1EA27190"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(Negotiated Deals domestic)</w:t>
            </w:r>
          </w:p>
        </w:tc>
        <w:tc>
          <w:tcPr>
            <w:tcW w:w="3118" w:type="dxa"/>
          </w:tcPr>
          <w:p w14:paraId="42947713" w14:textId="08214B28"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0D8F1B62" w14:textId="703DD443"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4E56BC2F" w14:textId="77777777" w:rsidTr="00B617D6">
        <w:tc>
          <w:tcPr>
            <w:tcW w:w="8359" w:type="dxa"/>
            <w:shd w:val="clear" w:color="auto" w:fill="auto"/>
          </w:tcPr>
          <w:p w14:paraId="781C629F" w14:textId="58EB540A"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(Negotiated Deals foreign)</w:t>
            </w:r>
          </w:p>
        </w:tc>
        <w:tc>
          <w:tcPr>
            <w:tcW w:w="3118" w:type="dxa"/>
          </w:tcPr>
          <w:p w14:paraId="2A9C561F" w14:textId="004D0551"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74006605" w14:textId="0F04F1B3"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16460355" w14:textId="77777777" w:rsidTr="00B617D6">
        <w:tc>
          <w:tcPr>
            <w:tcW w:w="8359" w:type="dxa"/>
            <w:shd w:val="clear" w:color="auto" w:fill="auto"/>
          </w:tcPr>
          <w:p w14:paraId="707E4657" w14:textId="5703DC59"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(Negotiated Deals total)</w:t>
            </w:r>
          </w:p>
        </w:tc>
        <w:tc>
          <w:tcPr>
            <w:tcW w:w="3118" w:type="dxa"/>
          </w:tcPr>
          <w:p w14:paraId="534B8BA7" w14:textId="25D1A85A"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375D6DB1" w14:textId="4BB90E1C"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3965D4E1" w14:textId="77777777" w:rsidTr="00B617D6">
        <w:tc>
          <w:tcPr>
            <w:tcW w:w="8359" w:type="dxa"/>
            <w:shd w:val="clear" w:color="auto" w:fill="auto"/>
          </w:tcPr>
          <w:p w14:paraId="16FA9A2A" w14:textId="4A291E92"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(Reported Trades domestic)</w:t>
            </w:r>
          </w:p>
        </w:tc>
        <w:tc>
          <w:tcPr>
            <w:tcW w:w="3118" w:type="dxa"/>
          </w:tcPr>
          <w:p w14:paraId="69604239" w14:textId="773459D0"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26F8FF46" w14:textId="155F16D9"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35CFB1C5" w14:textId="77777777" w:rsidTr="00B617D6">
        <w:tc>
          <w:tcPr>
            <w:tcW w:w="8359" w:type="dxa"/>
            <w:shd w:val="clear" w:color="auto" w:fill="auto"/>
          </w:tcPr>
          <w:p w14:paraId="12A49B46" w14:textId="26869185"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(Reported Trades foreign)</w:t>
            </w:r>
          </w:p>
        </w:tc>
        <w:tc>
          <w:tcPr>
            <w:tcW w:w="3118" w:type="dxa"/>
          </w:tcPr>
          <w:p w14:paraId="2832CCC3" w14:textId="2E6675FA"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4FE5969C" w14:textId="7BFC5207"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662E8D7C" w14:textId="77777777" w:rsidTr="00B617D6">
        <w:tc>
          <w:tcPr>
            <w:tcW w:w="8359" w:type="dxa"/>
            <w:shd w:val="clear" w:color="auto" w:fill="auto"/>
          </w:tcPr>
          <w:p w14:paraId="45D4EE6D" w14:textId="432CFABF"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(Reported Trades total)</w:t>
            </w:r>
          </w:p>
        </w:tc>
        <w:tc>
          <w:tcPr>
            <w:tcW w:w="3118" w:type="dxa"/>
          </w:tcPr>
          <w:p w14:paraId="4E7B024A" w14:textId="2BC8C393"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14CBB6C0" w14:textId="19E3D686"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748C43BA" w14:textId="77777777" w:rsidTr="00B617D6">
        <w:tc>
          <w:tcPr>
            <w:tcW w:w="8359" w:type="dxa"/>
            <w:shd w:val="clear" w:color="auto" w:fill="auto"/>
          </w:tcPr>
          <w:p w14:paraId="1CD09073" w14:textId="7DE3A30B"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Capital raised (by already listed companies)</w:t>
            </w:r>
          </w:p>
        </w:tc>
        <w:tc>
          <w:tcPr>
            <w:tcW w:w="3118" w:type="dxa"/>
          </w:tcPr>
          <w:p w14:paraId="6160C841" w14:textId="17CACBAE" w:rsidR="00F37ABE" w:rsidRPr="00D56B44" w:rsidRDefault="00F37ABE" w:rsidP="00F37ABE">
            <w:pPr>
              <w:spacing w:line="247" w:lineRule="auto"/>
              <w:rPr>
                <w:rFonts w:ascii="Arial" w:hAnsi="Arial" w:cs="Arial"/>
                <w:b/>
                <w:sz w:val="20"/>
                <w:szCs w:val="20"/>
              </w:rPr>
            </w:pPr>
            <w:r w:rsidRPr="00EA54BA">
              <w:rPr>
                <w:rFonts w:ascii="Arial" w:eastAsia="Times New Roman" w:hAnsi="Arial" w:cs="Arial"/>
                <w:color w:val="000000"/>
                <w:sz w:val="20"/>
                <w:szCs w:val="20"/>
                <w:lang w:eastAsia="en-GB"/>
              </w:rPr>
              <w:t>Monetary (000 000)</w:t>
            </w:r>
          </w:p>
        </w:tc>
        <w:tc>
          <w:tcPr>
            <w:tcW w:w="2410" w:type="dxa"/>
            <w:shd w:val="clear" w:color="auto" w:fill="auto"/>
          </w:tcPr>
          <w:p w14:paraId="08425A3B" w14:textId="54A98F72"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78AED678" w14:textId="77777777" w:rsidTr="00B617D6">
        <w:tc>
          <w:tcPr>
            <w:tcW w:w="8359" w:type="dxa"/>
            <w:shd w:val="clear" w:color="auto" w:fill="auto"/>
          </w:tcPr>
          <w:p w14:paraId="440F1C8C" w14:textId="20F2EA3D"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Capital raised (by newly admitted companies)</w:t>
            </w:r>
          </w:p>
        </w:tc>
        <w:tc>
          <w:tcPr>
            <w:tcW w:w="3118" w:type="dxa"/>
          </w:tcPr>
          <w:p w14:paraId="30385F90" w14:textId="59F48AC8" w:rsidR="00F37ABE" w:rsidRPr="00D56B44" w:rsidRDefault="00F37ABE" w:rsidP="00F37ABE">
            <w:pPr>
              <w:spacing w:line="247" w:lineRule="auto"/>
              <w:rPr>
                <w:rFonts w:ascii="Arial" w:hAnsi="Arial" w:cs="Arial"/>
                <w:b/>
                <w:sz w:val="20"/>
                <w:szCs w:val="20"/>
              </w:rPr>
            </w:pPr>
            <w:r w:rsidRPr="00EA54BA">
              <w:rPr>
                <w:rFonts w:ascii="Arial" w:eastAsia="Times New Roman" w:hAnsi="Arial" w:cs="Arial"/>
                <w:color w:val="000000"/>
                <w:sz w:val="20"/>
                <w:szCs w:val="20"/>
                <w:lang w:eastAsia="en-GB"/>
              </w:rPr>
              <w:t>Monetary (000 000)</w:t>
            </w:r>
          </w:p>
        </w:tc>
        <w:tc>
          <w:tcPr>
            <w:tcW w:w="2410" w:type="dxa"/>
            <w:shd w:val="clear" w:color="auto" w:fill="auto"/>
          </w:tcPr>
          <w:p w14:paraId="12C708F2" w14:textId="07F0EE2C"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1713504C" w14:textId="77777777" w:rsidTr="00B617D6">
        <w:tc>
          <w:tcPr>
            <w:tcW w:w="8359" w:type="dxa"/>
            <w:shd w:val="clear" w:color="auto" w:fill="auto"/>
          </w:tcPr>
          <w:p w14:paraId="6666C063" w14:textId="2210E8C6"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Capital raised (Total)</w:t>
            </w:r>
          </w:p>
        </w:tc>
        <w:tc>
          <w:tcPr>
            <w:tcW w:w="3118" w:type="dxa"/>
          </w:tcPr>
          <w:p w14:paraId="34E270D9" w14:textId="157CF9D1" w:rsidR="00F37ABE" w:rsidRPr="00D56B44" w:rsidRDefault="00F37ABE" w:rsidP="00F37ABE">
            <w:pPr>
              <w:spacing w:line="247" w:lineRule="auto"/>
              <w:rPr>
                <w:rFonts w:ascii="Arial" w:hAnsi="Arial" w:cs="Arial"/>
                <w:b/>
                <w:sz w:val="20"/>
                <w:szCs w:val="20"/>
              </w:rPr>
            </w:pPr>
            <w:r w:rsidRPr="00EA54BA">
              <w:rPr>
                <w:rFonts w:ascii="Arial" w:eastAsia="Times New Roman" w:hAnsi="Arial" w:cs="Arial"/>
                <w:color w:val="000000"/>
                <w:sz w:val="20"/>
                <w:szCs w:val="20"/>
                <w:lang w:eastAsia="en-GB"/>
              </w:rPr>
              <w:t>Monetary (000 000)</w:t>
            </w:r>
          </w:p>
        </w:tc>
        <w:tc>
          <w:tcPr>
            <w:tcW w:w="2410" w:type="dxa"/>
            <w:shd w:val="clear" w:color="auto" w:fill="auto"/>
          </w:tcPr>
          <w:p w14:paraId="0EEF8D7B" w14:textId="40EDB4B9"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2B599D" w14:paraId="475D3282" w14:textId="77777777" w:rsidTr="0001525E">
        <w:tc>
          <w:tcPr>
            <w:tcW w:w="8359" w:type="dxa"/>
            <w:shd w:val="clear" w:color="auto" w:fill="auto"/>
          </w:tcPr>
          <w:p w14:paraId="11B474E9"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Number of listed domestic co. with share listed distributing dividends during the year</w:t>
            </w:r>
          </w:p>
        </w:tc>
        <w:tc>
          <w:tcPr>
            <w:tcW w:w="3118" w:type="dxa"/>
            <w:shd w:val="clear" w:color="auto" w:fill="auto"/>
            <w:vAlign w:val="bottom"/>
          </w:tcPr>
          <w:p w14:paraId="52F5D500" w14:textId="03164F5C"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Full number</w:t>
            </w:r>
          </w:p>
        </w:tc>
        <w:tc>
          <w:tcPr>
            <w:tcW w:w="2410" w:type="dxa"/>
            <w:shd w:val="clear" w:color="auto" w:fill="auto"/>
          </w:tcPr>
          <w:p w14:paraId="59F92DC1" w14:textId="0D5E826D" w:rsidR="00F37ABE" w:rsidRPr="002B599D" w:rsidRDefault="00F37ABE" w:rsidP="00F37ABE">
            <w:pPr>
              <w:spacing w:line="247" w:lineRule="auto"/>
              <w:rPr>
                <w:rFonts w:ascii="Arial" w:hAnsi="Arial" w:cs="Arial"/>
                <w:sz w:val="20"/>
                <w:szCs w:val="20"/>
              </w:rPr>
            </w:pPr>
            <w:r w:rsidRPr="002B599D">
              <w:rPr>
                <w:rFonts w:ascii="Arial" w:hAnsi="Arial" w:cs="Arial"/>
                <w:sz w:val="20"/>
                <w:szCs w:val="20"/>
              </w:rPr>
              <w:t>Annual</w:t>
            </w:r>
          </w:p>
        </w:tc>
      </w:tr>
      <w:tr w:rsidR="00F37ABE" w:rsidRPr="002B599D" w14:paraId="276DD424" w14:textId="77777777" w:rsidTr="0001525E">
        <w:tc>
          <w:tcPr>
            <w:tcW w:w="8359" w:type="dxa"/>
            <w:shd w:val="clear" w:color="auto" w:fill="auto"/>
          </w:tcPr>
          <w:p w14:paraId="0529D582"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Total amount of net dividend paid during the year</w:t>
            </w:r>
          </w:p>
        </w:tc>
        <w:tc>
          <w:tcPr>
            <w:tcW w:w="3118" w:type="dxa"/>
            <w:shd w:val="clear" w:color="auto" w:fill="auto"/>
            <w:vAlign w:val="bottom"/>
          </w:tcPr>
          <w:p w14:paraId="30F0A0DD" w14:textId="09EF2ABB"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Monetary ( 000 000 )</w:t>
            </w:r>
          </w:p>
        </w:tc>
        <w:tc>
          <w:tcPr>
            <w:tcW w:w="2410" w:type="dxa"/>
            <w:shd w:val="clear" w:color="auto" w:fill="auto"/>
          </w:tcPr>
          <w:p w14:paraId="24929BC0" w14:textId="29533A14"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334C1E6D" w14:textId="77777777" w:rsidTr="0001525E">
        <w:tc>
          <w:tcPr>
            <w:tcW w:w="8359" w:type="dxa"/>
            <w:shd w:val="clear" w:color="auto" w:fill="auto"/>
          </w:tcPr>
          <w:p w14:paraId="240AC323"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Total amount of gross dividend paid during the year</w:t>
            </w:r>
          </w:p>
        </w:tc>
        <w:tc>
          <w:tcPr>
            <w:tcW w:w="3118" w:type="dxa"/>
            <w:shd w:val="clear" w:color="auto" w:fill="auto"/>
            <w:vAlign w:val="bottom"/>
          </w:tcPr>
          <w:p w14:paraId="4BECDED8" w14:textId="37470527"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Monetary ( 000 000 )</w:t>
            </w:r>
          </w:p>
        </w:tc>
        <w:tc>
          <w:tcPr>
            <w:tcW w:w="2410" w:type="dxa"/>
            <w:shd w:val="clear" w:color="auto" w:fill="auto"/>
          </w:tcPr>
          <w:p w14:paraId="4BF5E482" w14:textId="78E7E88E"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240DF293" w14:textId="77777777" w:rsidTr="0001525E">
        <w:tc>
          <w:tcPr>
            <w:tcW w:w="8359" w:type="dxa"/>
            <w:shd w:val="clear" w:color="auto" w:fill="auto"/>
          </w:tcPr>
          <w:p w14:paraId="259722D7"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Gross dividend yield</w:t>
            </w:r>
          </w:p>
        </w:tc>
        <w:tc>
          <w:tcPr>
            <w:tcW w:w="3118" w:type="dxa"/>
            <w:shd w:val="clear" w:color="auto" w:fill="auto"/>
            <w:vAlign w:val="bottom"/>
          </w:tcPr>
          <w:p w14:paraId="3220602F" w14:textId="3A9D8300"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Percentage</w:t>
            </w:r>
          </w:p>
        </w:tc>
        <w:tc>
          <w:tcPr>
            <w:tcW w:w="2410" w:type="dxa"/>
            <w:shd w:val="clear" w:color="auto" w:fill="auto"/>
          </w:tcPr>
          <w:p w14:paraId="56B2CA76" w14:textId="73D180E0"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6A290FFB" w14:textId="77777777" w:rsidTr="0001525E">
        <w:tc>
          <w:tcPr>
            <w:tcW w:w="8359" w:type="dxa"/>
            <w:shd w:val="clear" w:color="auto" w:fill="auto"/>
          </w:tcPr>
          <w:p w14:paraId="0F8A8867"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Net dividend yield</w:t>
            </w:r>
          </w:p>
        </w:tc>
        <w:tc>
          <w:tcPr>
            <w:tcW w:w="3118" w:type="dxa"/>
            <w:shd w:val="clear" w:color="auto" w:fill="auto"/>
            <w:vAlign w:val="bottom"/>
          </w:tcPr>
          <w:p w14:paraId="509F8C2B" w14:textId="47B75963"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Percentage</w:t>
            </w:r>
          </w:p>
        </w:tc>
        <w:tc>
          <w:tcPr>
            <w:tcW w:w="2410" w:type="dxa"/>
            <w:shd w:val="clear" w:color="auto" w:fill="auto"/>
          </w:tcPr>
          <w:p w14:paraId="23BB794C" w14:textId="474A03CA"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1C75C52E" w14:textId="77777777" w:rsidTr="0001525E">
        <w:tc>
          <w:tcPr>
            <w:tcW w:w="13887" w:type="dxa"/>
            <w:gridSpan w:val="3"/>
            <w:shd w:val="clear" w:color="auto" w:fill="auto"/>
          </w:tcPr>
          <w:p w14:paraId="5752BEFD" w14:textId="77777777" w:rsidR="00F37ABE" w:rsidRPr="002B599D" w:rsidRDefault="00F37ABE" w:rsidP="00F37ABE">
            <w:pPr>
              <w:spacing w:line="247" w:lineRule="auto"/>
              <w:rPr>
                <w:rFonts w:ascii="Arial" w:hAnsi="Arial" w:cs="Arial"/>
                <w:b/>
                <w:sz w:val="20"/>
                <w:szCs w:val="20"/>
              </w:rPr>
            </w:pPr>
          </w:p>
        </w:tc>
      </w:tr>
      <w:tr w:rsidR="00F37ABE" w:rsidRPr="00D56B44" w14:paraId="3A86FBFC" w14:textId="77777777" w:rsidTr="0001525E">
        <w:tc>
          <w:tcPr>
            <w:tcW w:w="13887" w:type="dxa"/>
            <w:gridSpan w:val="3"/>
            <w:shd w:val="clear" w:color="auto" w:fill="8EAADB" w:themeFill="accent1" w:themeFillTint="99"/>
          </w:tcPr>
          <w:p w14:paraId="6520E891" w14:textId="45557650"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DA289F" w:rsidRPr="00DA289F" w14:paraId="31163F57" w14:textId="77777777" w:rsidTr="00136624">
        <w:trPr>
          <w:trHeight w:val="379"/>
        </w:trPr>
        <w:tc>
          <w:tcPr>
            <w:tcW w:w="13887" w:type="dxa"/>
            <w:gridSpan w:val="3"/>
            <w:shd w:val="clear" w:color="auto" w:fill="auto"/>
            <w:vAlign w:val="center"/>
          </w:tcPr>
          <w:p w14:paraId="6086DE97" w14:textId="0AA6E793" w:rsidR="00F37ABE" w:rsidRPr="008C002D" w:rsidRDefault="00271AA5" w:rsidP="00F37ABE">
            <w:pPr>
              <w:spacing w:line="247" w:lineRule="auto"/>
              <w:rPr>
                <w:rFonts w:ascii="Arial" w:hAnsi="Arial" w:cs="Arial"/>
                <w:b/>
                <w:bCs/>
                <w:i/>
                <w:iCs/>
                <w:smallCaps/>
                <w:color w:val="002060"/>
                <w:u w:val="single"/>
              </w:rPr>
            </w:pPr>
            <w:r w:rsidRPr="00997941">
              <w:rPr>
                <w:rFonts w:ascii="Arial" w:hAnsi="Arial" w:cs="Arial"/>
                <w:b/>
                <w:bCs/>
                <w:i/>
                <w:iCs/>
                <w:smallCaps/>
                <w:color w:val="1F3864" w:themeColor="accent1" w:themeShade="80"/>
                <w:sz w:val="20"/>
                <w:szCs w:val="20"/>
                <w:u w:val="single"/>
              </w:rPr>
              <w:lastRenderedPageBreak/>
              <w:fldChar w:fldCharType="begin"/>
            </w:r>
            <w:r w:rsidRPr="00997941">
              <w:rPr>
                <w:rFonts w:ascii="Arial" w:hAnsi="Arial" w:cs="Arial"/>
                <w:b/>
                <w:bCs/>
                <w:i/>
                <w:iCs/>
                <w:smallCaps/>
                <w:color w:val="1F3864" w:themeColor="accent1" w:themeShade="80"/>
                <w:sz w:val="20"/>
                <w:szCs w:val="20"/>
                <w:u w:val="single"/>
              </w:rPr>
              <w:instrText xml:space="preserve"> REF _Ref14258703 \h </w:instrText>
            </w:r>
            <w:r w:rsidR="00DA289F" w:rsidRPr="00997941">
              <w:rPr>
                <w:rFonts w:ascii="Arial" w:hAnsi="Arial" w:cs="Arial"/>
                <w:b/>
                <w:bCs/>
                <w:i/>
                <w:iCs/>
                <w:smallCaps/>
                <w:color w:val="1F3864" w:themeColor="accent1" w:themeShade="80"/>
                <w:sz w:val="20"/>
                <w:szCs w:val="20"/>
                <w:u w:val="single"/>
              </w:rPr>
              <w:instrText xml:space="preserve"> \* MERGEFORMAT </w:instrText>
            </w:r>
            <w:r w:rsidRPr="00997941">
              <w:rPr>
                <w:rFonts w:ascii="Arial" w:hAnsi="Arial" w:cs="Arial"/>
                <w:b/>
                <w:bCs/>
                <w:i/>
                <w:iCs/>
                <w:smallCaps/>
                <w:color w:val="1F3864" w:themeColor="accent1" w:themeShade="80"/>
                <w:sz w:val="20"/>
                <w:szCs w:val="20"/>
                <w:u w:val="single"/>
              </w:rPr>
            </w:r>
            <w:r w:rsidRPr="00997941">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Broad Stock Index</w:t>
            </w:r>
            <w:r w:rsidRPr="00997941">
              <w:rPr>
                <w:rFonts w:ascii="Arial" w:hAnsi="Arial" w:cs="Arial"/>
                <w:b/>
                <w:bCs/>
                <w:i/>
                <w:iCs/>
                <w:smallCaps/>
                <w:color w:val="1F3864" w:themeColor="accent1" w:themeShade="80"/>
                <w:sz w:val="20"/>
                <w:szCs w:val="20"/>
                <w:u w:val="single"/>
              </w:rPr>
              <w:fldChar w:fldCharType="end"/>
            </w:r>
          </w:p>
        </w:tc>
      </w:tr>
      <w:tr w:rsidR="00F37ABE" w:rsidRPr="00D56B44" w14:paraId="24C91203" w14:textId="77777777" w:rsidTr="00B617D6">
        <w:tc>
          <w:tcPr>
            <w:tcW w:w="8359" w:type="dxa"/>
            <w:shd w:val="clear" w:color="auto" w:fill="D9E2F3" w:themeFill="accent1" w:themeFillTint="33"/>
          </w:tcPr>
          <w:p w14:paraId="3D88C971"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46C9C4BA" w14:textId="15D54BC8"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43A4CFEA" w14:textId="3FB79594"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6A2DD8CD" w14:textId="77777777" w:rsidTr="00B617D6">
        <w:tc>
          <w:tcPr>
            <w:tcW w:w="8359" w:type="dxa"/>
          </w:tcPr>
          <w:p w14:paraId="50C4B3F0" w14:textId="77777777" w:rsidR="00F37ABE" w:rsidRPr="00EE3FF7" w:rsidRDefault="00F37ABE" w:rsidP="00F37ABE">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w:t>
            </w:r>
          </w:p>
        </w:tc>
        <w:tc>
          <w:tcPr>
            <w:tcW w:w="3118" w:type="dxa"/>
          </w:tcPr>
          <w:p w14:paraId="66FEC709" w14:textId="098ABDA9"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2537D688" w14:textId="11891241"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F37ABE" w:rsidRPr="00D56B44" w14:paraId="22A5AA09" w14:textId="77777777" w:rsidTr="0001525E">
        <w:tc>
          <w:tcPr>
            <w:tcW w:w="13887" w:type="dxa"/>
            <w:gridSpan w:val="3"/>
            <w:shd w:val="clear" w:color="auto" w:fill="8EAADB" w:themeFill="accent1" w:themeFillTint="99"/>
          </w:tcPr>
          <w:p w14:paraId="50D8A7AE" w14:textId="2C83B349"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F37ABE" w:rsidRPr="00866EBC" w14:paraId="68758C84" w14:textId="77777777" w:rsidTr="00136624">
        <w:trPr>
          <w:trHeight w:val="380"/>
        </w:trPr>
        <w:tc>
          <w:tcPr>
            <w:tcW w:w="13887" w:type="dxa"/>
            <w:gridSpan w:val="3"/>
            <w:shd w:val="clear" w:color="auto" w:fill="auto"/>
            <w:vAlign w:val="center"/>
          </w:tcPr>
          <w:p w14:paraId="5FD0CDD7" w14:textId="60EB5A1E" w:rsidR="00F37ABE" w:rsidRPr="00997941" w:rsidRDefault="00866EBC" w:rsidP="00F37ABE">
            <w:pPr>
              <w:spacing w:line="247" w:lineRule="auto"/>
              <w:rPr>
                <w:rFonts w:ascii="Arial" w:hAnsi="Arial" w:cs="Arial"/>
                <w:b/>
                <w:bCs/>
                <w:i/>
                <w:iCs/>
                <w:smallCaps/>
                <w:color w:val="002060"/>
                <w:sz w:val="20"/>
                <w:szCs w:val="20"/>
                <w:u w:val="single"/>
              </w:rPr>
            </w:pPr>
            <w:r w:rsidRPr="00997941">
              <w:rPr>
                <w:rFonts w:ascii="Arial" w:hAnsi="Arial" w:cs="Arial"/>
                <w:b/>
                <w:bCs/>
                <w:i/>
                <w:iCs/>
                <w:smallCaps/>
                <w:color w:val="1F3864" w:themeColor="accent1" w:themeShade="80"/>
                <w:sz w:val="20"/>
                <w:szCs w:val="20"/>
                <w:u w:val="single"/>
              </w:rPr>
              <w:fldChar w:fldCharType="begin"/>
            </w:r>
            <w:r w:rsidRPr="00997941">
              <w:rPr>
                <w:rFonts w:ascii="Arial" w:hAnsi="Arial" w:cs="Arial"/>
                <w:b/>
                <w:bCs/>
                <w:i/>
                <w:iCs/>
                <w:smallCaps/>
                <w:color w:val="1F3864" w:themeColor="accent1" w:themeShade="80"/>
                <w:sz w:val="20"/>
                <w:szCs w:val="20"/>
                <w:u w:val="single"/>
              </w:rPr>
              <w:instrText xml:space="preserve"> REF _Ref14258723 \h  \* MERGEFORMAT </w:instrText>
            </w:r>
            <w:r w:rsidRPr="00997941">
              <w:rPr>
                <w:rFonts w:ascii="Arial" w:hAnsi="Arial" w:cs="Arial"/>
                <w:b/>
                <w:bCs/>
                <w:i/>
                <w:iCs/>
                <w:smallCaps/>
                <w:color w:val="1F3864" w:themeColor="accent1" w:themeShade="80"/>
                <w:sz w:val="20"/>
                <w:szCs w:val="20"/>
                <w:u w:val="single"/>
              </w:rPr>
            </w:r>
            <w:r w:rsidRPr="00997941">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Blue Chip Index</w:t>
            </w:r>
            <w:r w:rsidRPr="00997941">
              <w:rPr>
                <w:rFonts w:ascii="Arial" w:hAnsi="Arial" w:cs="Arial"/>
                <w:b/>
                <w:bCs/>
                <w:i/>
                <w:iCs/>
                <w:smallCaps/>
                <w:color w:val="1F3864" w:themeColor="accent1" w:themeShade="80"/>
                <w:sz w:val="20"/>
                <w:szCs w:val="20"/>
                <w:u w:val="single"/>
              </w:rPr>
              <w:fldChar w:fldCharType="end"/>
            </w:r>
          </w:p>
        </w:tc>
      </w:tr>
      <w:tr w:rsidR="00F37ABE" w:rsidRPr="00D56B44" w14:paraId="57BE9696" w14:textId="77777777" w:rsidTr="00B617D6">
        <w:tc>
          <w:tcPr>
            <w:tcW w:w="8359" w:type="dxa"/>
            <w:shd w:val="clear" w:color="auto" w:fill="D9E2F3" w:themeFill="accent1" w:themeFillTint="33"/>
          </w:tcPr>
          <w:p w14:paraId="009C94E0"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7AA8900D" w14:textId="1FAE44D9"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1207FE97" w14:textId="7B93ED6E"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1FD70B68" w14:textId="77777777" w:rsidTr="00B617D6">
        <w:tc>
          <w:tcPr>
            <w:tcW w:w="8359" w:type="dxa"/>
          </w:tcPr>
          <w:p w14:paraId="45A3D285" w14:textId="77777777" w:rsidR="00F37ABE" w:rsidRPr="00EE3FF7" w:rsidRDefault="00F37ABE" w:rsidP="00F37ABE">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w:t>
            </w:r>
          </w:p>
        </w:tc>
        <w:tc>
          <w:tcPr>
            <w:tcW w:w="3118" w:type="dxa"/>
          </w:tcPr>
          <w:p w14:paraId="6311972D" w14:textId="31216961"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38D00831" w14:textId="707309A4"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F37ABE" w:rsidRPr="00D56B44" w14:paraId="60F15547" w14:textId="77777777" w:rsidTr="00B617D6">
        <w:tc>
          <w:tcPr>
            <w:tcW w:w="8359" w:type="dxa"/>
          </w:tcPr>
          <w:p w14:paraId="17DD52D3" w14:textId="77777777" w:rsidR="00F37ABE" w:rsidRPr="00D56B44" w:rsidRDefault="00F37ABE" w:rsidP="00F37ABE">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Volatility</w:t>
            </w:r>
          </w:p>
        </w:tc>
        <w:tc>
          <w:tcPr>
            <w:tcW w:w="3118" w:type="dxa"/>
          </w:tcPr>
          <w:p w14:paraId="5266E425" w14:textId="743B38C2"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20BF2B6A" w14:textId="0C02EDF8"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F37ABE" w:rsidRPr="00D56B44" w14:paraId="0F87EEFB" w14:textId="77777777" w:rsidTr="00B617D6">
        <w:tc>
          <w:tcPr>
            <w:tcW w:w="8359" w:type="dxa"/>
          </w:tcPr>
          <w:p w14:paraId="410B5DAA" w14:textId="77777777" w:rsidR="00F37ABE" w:rsidRPr="00D56B44" w:rsidRDefault="00F37ABE" w:rsidP="00F37ABE">
            <w:pPr>
              <w:spacing w:line="247" w:lineRule="auto"/>
              <w:rPr>
                <w:rFonts w:ascii="Arial" w:eastAsia="Times New Roman" w:hAnsi="Arial" w:cs="Arial"/>
                <w:color w:val="000000"/>
                <w:sz w:val="20"/>
                <w:szCs w:val="20"/>
                <w:lang w:eastAsia="en-GB"/>
              </w:rPr>
            </w:pPr>
          </w:p>
        </w:tc>
        <w:tc>
          <w:tcPr>
            <w:tcW w:w="3118" w:type="dxa"/>
          </w:tcPr>
          <w:p w14:paraId="6C1529A2" w14:textId="77777777" w:rsidR="00F37ABE" w:rsidRDefault="00F37ABE" w:rsidP="00F37ABE">
            <w:pPr>
              <w:spacing w:line="247" w:lineRule="auto"/>
              <w:rPr>
                <w:rFonts w:ascii="Arial" w:eastAsia="Times New Roman" w:hAnsi="Arial" w:cs="Arial"/>
                <w:color w:val="000000"/>
                <w:sz w:val="20"/>
                <w:szCs w:val="20"/>
                <w:lang w:eastAsia="en-GB"/>
              </w:rPr>
            </w:pPr>
          </w:p>
        </w:tc>
        <w:tc>
          <w:tcPr>
            <w:tcW w:w="2410" w:type="dxa"/>
          </w:tcPr>
          <w:p w14:paraId="02EB14C1" w14:textId="77777777" w:rsidR="00F37ABE" w:rsidRDefault="00F37ABE" w:rsidP="00F37ABE">
            <w:pPr>
              <w:spacing w:line="247" w:lineRule="auto"/>
              <w:rPr>
                <w:rFonts w:ascii="Arial" w:eastAsia="Times New Roman" w:hAnsi="Arial" w:cs="Arial"/>
                <w:color w:val="000000"/>
                <w:sz w:val="20"/>
                <w:szCs w:val="20"/>
                <w:lang w:eastAsia="en-GB"/>
              </w:rPr>
            </w:pPr>
          </w:p>
        </w:tc>
      </w:tr>
      <w:tr w:rsidR="00F37ABE" w:rsidRPr="00D56B44" w14:paraId="69590C18" w14:textId="77777777" w:rsidTr="0001525E">
        <w:tc>
          <w:tcPr>
            <w:tcW w:w="13887" w:type="dxa"/>
            <w:gridSpan w:val="3"/>
            <w:shd w:val="clear" w:color="auto" w:fill="8EAADB" w:themeFill="accent1" w:themeFillTint="99"/>
          </w:tcPr>
          <w:p w14:paraId="5AAAE67C"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F37ABE" w:rsidRPr="00136624" w14:paraId="4D99A9E9" w14:textId="77777777" w:rsidTr="00136624">
        <w:trPr>
          <w:trHeight w:val="461"/>
        </w:trPr>
        <w:tc>
          <w:tcPr>
            <w:tcW w:w="13887" w:type="dxa"/>
            <w:gridSpan w:val="3"/>
            <w:shd w:val="clear" w:color="auto" w:fill="auto"/>
            <w:vAlign w:val="center"/>
          </w:tcPr>
          <w:p w14:paraId="1831E7E3" w14:textId="4EE1ED9B" w:rsidR="00F37ABE" w:rsidRPr="00997941" w:rsidRDefault="00866EBC" w:rsidP="00F37ABE">
            <w:pPr>
              <w:spacing w:line="247" w:lineRule="auto"/>
              <w:rPr>
                <w:rFonts w:ascii="Arial" w:hAnsi="Arial" w:cs="Arial"/>
                <w:b/>
                <w:bCs/>
                <w:i/>
                <w:iCs/>
                <w:smallCaps/>
                <w:sz w:val="20"/>
                <w:szCs w:val="20"/>
                <w:u w:val="single"/>
              </w:rPr>
            </w:pPr>
            <w:r w:rsidRPr="00997941">
              <w:rPr>
                <w:rFonts w:ascii="Arial" w:hAnsi="Arial" w:cs="Arial"/>
                <w:b/>
                <w:bCs/>
                <w:i/>
                <w:iCs/>
                <w:color w:val="1F3864" w:themeColor="accent1" w:themeShade="80"/>
                <w:sz w:val="20"/>
                <w:szCs w:val="20"/>
                <w:u w:val="single"/>
              </w:rPr>
              <w:fldChar w:fldCharType="begin"/>
            </w:r>
            <w:r w:rsidRPr="00997941">
              <w:rPr>
                <w:rFonts w:ascii="Arial" w:hAnsi="Arial" w:cs="Arial"/>
                <w:b/>
                <w:bCs/>
                <w:i/>
                <w:iCs/>
                <w:color w:val="1F3864" w:themeColor="accent1" w:themeShade="80"/>
                <w:sz w:val="20"/>
                <w:szCs w:val="20"/>
                <w:u w:val="single"/>
              </w:rPr>
              <w:instrText xml:space="preserve"> REF _Ref14258745 \h </w:instrText>
            </w:r>
            <w:r w:rsidR="00446C5A" w:rsidRPr="00997941">
              <w:rPr>
                <w:rFonts w:ascii="Arial" w:hAnsi="Arial" w:cs="Arial"/>
                <w:b/>
                <w:bCs/>
                <w:i/>
                <w:iCs/>
                <w:color w:val="1F3864" w:themeColor="accent1" w:themeShade="80"/>
                <w:sz w:val="20"/>
                <w:szCs w:val="20"/>
                <w:u w:val="single"/>
              </w:rPr>
              <w:instrText xml:space="preserve"> \* MERGEFORMAT </w:instrText>
            </w:r>
            <w:r w:rsidRPr="00997941">
              <w:rPr>
                <w:rFonts w:ascii="Arial" w:hAnsi="Arial" w:cs="Arial"/>
                <w:b/>
                <w:bCs/>
                <w:i/>
                <w:iCs/>
                <w:color w:val="1F3864" w:themeColor="accent1" w:themeShade="80"/>
                <w:sz w:val="20"/>
                <w:szCs w:val="20"/>
                <w:u w:val="single"/>
              </w:rPr>
            </w:r>
            <w:r w:rsidRPr="00997941">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Median Simple Spread</w:t>
            </w:r>
            <w:r w:rsidRPr="00997941">
              <w:rPr>
                <w:rFonts w:ascii="Arial" w:hAnsi="Arial" w:cs="Arial"/>
                <w:b/>
                <w:bCs/>
                <w:i/>
                <w:iCs/>
                <w:color w:val="1F3864" w:themeColor="accent1" w:themeShade="80"/>
                <w:sz w:val="20"/>
                <w:szCs w:val="20"/>
                <w:u w:val="single"/>
              </w:rPr>
              <w:fldChar w:fldCharType="end"/>
            </w:r>
          </w:p>
        </w:tc>
      </w:tr>
      <w:tr w:rsidR="00F37ABE" w:rsidRPr="00D56B44" w14:paraId="225F89C5" w14:textId="77777777" w:rsidTr="0001525E">
        <w:tc>
          <w:tcPr>
            <w:tcW w:w="8359" w:type="dxa"/>
            <w:shd w:val="clear" w:color="auto" w:fill="D9E2F3" w:themeFill="accent1" w:themeFillTint="33"/>
          </w:tcPr>
          <w:p w14:paraId="1B181D33"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0724E0EF" w14:textId="77777777"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2CD5D52A" w14:textId="77777777"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0BAE1144" w14:textId="77777777" w:rsidTr="0001525E">
        <w:tc>
          <w:tcPr>
            <w:tcW w:w="8359" w:type="dxa"/>
          </w:tcPr>
          <w:p w14:paraId="4635186B" w14:textId="5886D09D" w:rsidR="00F37ABE" w:rsidRPr="00EE3FF7"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Large Cap</w:t>
            </w:r>
          </w:p>
        </w:tc>
        <w:tc>
          <w:tcPr>
            <w:tcW w:w="3118" w:type="dxa"/>
          </w:tcPr>
          <w:p w14:paraId="7DF69024" w14:textId="77777777"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7704BC05" w14:textId="4AC9A888"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Monthly </w:t>
            </w:r>
          </w:p>
        </w:tc>
      </w:tr>
      <w:tr w:rsidR="00F37ABE" w:rsidRPr="00D56B44" w14:paraId="7EA955CF" w14:textId="77777777" w:rsidTr="0001525E">
        <w:tc>
          <w:tcPr>
            <w:tcW w:w="8359" w:type="dxa"/>
          </w:tcPr>
          <w:p w14:paraId="2FD92483" w14:textId="1931242A"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Mid Cap</w:t>
            </w:r>
          </w:p>
        </w:tc>
        <w:tc>
          <w:tcPr>
            <w:tcW w:w="3118" w:type="dxa"/>
          </w:tcPr>
          <w:p w14:paraId="385A8204" w14:textId="31593F86"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033AB7C9" w14:textId="29C1CA71"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F37ABE" w:rsidRPr="00D56B44" w14:paraId="4A4F2E2A" w14:textId="77777777" w:rsidTr="00B617D6">
        <w:tc>
          <w:tcPr>
            <w:tcW w:w="8359" w:type="dxa"/>
          </w:tcPr>
          <w:p w14:paraId="0F27BA80" w14:textId="593D8E1F"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Small Cap</w:t>
            </w:r>
          </w:p>
        </w:tc>
        <w:tc>
          <w:tcPr>
            <w:tcW w:w="3118" w:type="dxa"/>
          </w:tcPr>
          <w:p w14:paraId="022A73FB" w14:textId="340D17EC"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31B00F7E" w14:textId="3C30A12C"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F37ABE" w:rsidRPr="00D56B44" w14:paraId="58E96DBE" w14:textId="77777777" w:rsidTr="00B617D6">
        <w:tc>
          <w:tcPr>
            <w:tcW w:w="8359" w:type="dxa"/>
          </w:tcPr>
          <w:p w14:paraId="0C4197EE" w14:textId="27C0738B"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Micro Cap</w:t>
            </w:r>
          </w:p>
        </w:tc>
        <w:tc>
          <w:tcPr>
            <w:tcW w:w="3118" w:type="dxa"/>
          </w:tcPr>
          <w:p w14:paraId="4B6E4FF0" w14:textId="755B82FC"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61FD9928" w14:textId="2EAF602B"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bl>
    <w:p w14:paraId="2EC422B9" w14:textId="77777777" w:rsidR="00B51A1B" w:rsidRPr="00D56B44" w:rsidRDefault="00913AC6" w:rsidP="00DA7135">
      <w:pPr>
        <w:spacing w:line="247" w:lineRule="auto"/>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8359"/>
        <w:gridCol w:w="3118"/>
        <w:gridCol w:w="2410"/>
      </w:tblGrid>
      <w:tr w:rsidR="00B51A1B" w:rsidRPr="00D56B44" w14:paraId="5FEACBB9" w14:textId="77777777" w:rsidTr="0001525E">
        <w:tc>
          <w:tcPr>
            <w:tcW w:w="13887" w:type="dxa"/>
            <w:gridSpan w:val="3"/>
            <w:shd w:val="clear" w:color="auto" w:fill="8EAADB" w:themeFill="accent1" w:themeFillTint="99"/>
          </w:tcPr>
          <w:p w14:paraId="3574E10F" w14:textId="77777777" w:rsidR="00B51A1B" w:rsidRPr="00D56B44" w:rsidRDefault="00B51A1B" w:rsidP="0001525E">
            <w:pPr>
              <w:spacing w:line="247" w:lineRule="auto"/>
              <w:rPr>
                <w:rFonts w:ascii="Arial" w:hAnsi="Arial" w:cs="Arial"/>
                <w:b/>
                <w:sz w:val="20"/>
                <w:szCs w:val="20"/>
              </w:rPr>
            </w:pPr>
            <w:r w:rsidRPr="00D56B44">
              <w:rPr>
                <w:rFonts w:ascii="Arial" w:hAnsi="Arial" w:cs="Arial"/>
                <w:b/>
                <w:sz w:val="20"/>
                <w:szCs w:val="20"/>
              </w:rPr>
              <w:t>Product</w:t>
            </w:r>
          </w:p>
        </w:tc>
      </w:tr>
      <w:tr w:rsidR="00B51A1B" w:rsidRPr="00136624" w14:paraId="1BD91C65" w14:textId="77777777" w:rsidTr="0001525E">
        <w:trPr>
          <w:trHeight w:val="461"/>
        </w:trPr>
        <w:tc>
          <w:tcPr>
            <w:tcW w:w="13887" w:type="dxa"/>
            <w:gridSpan w:val="3"/>
            <w:shd w:val="clear" w:color="auto" w:fill="auto"/>
            <w:vAlign w:val="center"/>
          </w:tcPr>
          <w:p w14:paraId="4D9658CA" w14:textId="07FEA813" w:rsidR="00B51A1B" w:rsidRPr="00997941" w:rsidRDefault="00446C5A" w:rsidP="0001525E">
            <w:pPr>
              <w:spacing w:line="247" w:lineRule="auto"/>
              <w:rPr>
                <w:rFonts w:ascii="Arial" w:hAnsi="Arial" w:cs="Arial"/>
                <w:b/>
                <w:bCs/>
                <w:smallCaps/>
                <w:sz w:val="20"/>
                <w:szCs w:val="20"/>
                <w:u w:val="single"/>
              </w:rPr>
            </w:pPr>
            <w:r w:rsidRPr="00997941">
              <w:rPr>
                <w:rFonts w:ascii="Arial" w:hAnsi="Arial" w:cs="Arial"/>
                <w:b/>
                <w:bCs/>
                <w:i/>
                <w:iCs/>
                <w:color w:val="1F3864" w:themeColor="accent1" w:themeShade="80"/>
                <w:sz w:val="20"/>
                <w:szCs w:val="20"/>
                <w:u w:val="single"/>
              </w:rPr>
              <w:fldChar w:fldCharType="begin"/>
            </w:r>
            <w:r w:rsidRPr="00997941">
              <w:rPr>
                <w:rFonts w:ascii="Arial" w:hAnsi="Arial" w:cs="Arial"/>
                <w:b/>
                <w:bCs/>
                <w:i/>
                <w:iCs/>
                <w:color w:val="1F3864" w:themeColor="accent1" w:themeShade="80"/>
                <w:sz w:val="20"/>
                <w:szCs w:val="20"/>
                <w:u w:val="single"/>
              </w:rPr>
              <w:instrText xml:space="preserve"> REF _Ref14259215 \h  \* MERGEFORMAT </w:instrText>
            </w:r>
            <w:r w:rsidRPr="00997941">
              <w:rPr>
                <w:rFonts w:ascii="Arial" w:hAnsi="Arial" w:cs="Arial"/>
                <w:b/>
                <w:bCs/>
                <w:i/>
                <w:iCs/>
                <w:color w:val="1F3864" w:themeColor="accent1" w:themeShade="80"/>
                <w:sz w:val="20"/>
                <w:szCs w:val="20"/>
                <w:u w:val="single"/>
              </w:rPr>
            </w:r>
            <w:r w:rsidRPr="00997941">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Granular IPO level capital raised</w:t>
            </w:r>
            <w:r w:rsidRPr="00997941">
              <w:rPr>
                <w:rFonts w:ascii="Arial" w:hAnsi="Arial" w:cs="Arial"/>
                <w:b/>
                <w:bCs/>
                <w:i/>
                <w:iCs/>
                <w:color w:val="1F3864" w:themeColor="accent1" w:themeShade="80"/>
                <w:sz w:val="20"/>
                <w:szCs w:val="20"/>
                <w:u w:val="single"/>
              </w:rPr>
              <w:fldChar w:fldCharType="end"/>
            </w:r>
          </w:p>
        </w:tc>
      </w:tr>
      <w:tr w:rsidR="00B51A1B" w:rsidRPr="00D56B44" w14:paraId="59E7FF6F" w14:textId="77777777" w:rsidTr="0001525E">
        <w:tc>
          <w:tcPr>
            <w:tcW w:w="8359" w:type="dxa"/>
            <w:shd w:val="clear" w:color="auto" w:fill="D9E2F3" w:themeFill="accent1" w:themeFillTint="33"/>
          </w:tcPr>
          <w:p w14:paraId="73230E74" w14:textId="77777777" w:rsidR="00B51A1B" w:rsidRPr="00D56B44" w:rsidRDefault="00B51A1B" w:rsidP="0001525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22EE6816" w14:textId="77777777" w:rsidR="00B51A1B" w:rsidRPr="00D56B44" w:rsidRDefault="00B51A1B" w:rsidP="0001525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2F1BD5DB" w14:textId="77777777" w:rsidR="00B51A1B" w:rsidRPr="00D56B44" w:rsidRDefault="00B51A1B" w:rsidP="0001525E">
            <w:pPr>
              <w:spacing w:line="247" w:lineRule="auto"/>
              <w:rPr>
                <w:rFonts w:ascii="Arial" w:hAnsi="Arial" w:cs="Arial"/>
                <w:b/>
                <w:sz w:val="20"/>
                <w:szCs w:val="20"/>
              </w:rPr>
            </w:pPr>
            <w:r>
              <w:rPr>
                <w:rFonts w:ascii="Arial" w:hAnsi="Arial" w:cs="Arial"/>
                <w:b/>
                <w:sz w:val="20"/>
                <w:szCs w:val="20"/>
              </w:rPr>
              <w:t>Frequency</w:t>
            </w:r>
          </w:p>
        </w:tc>
      </w:tr>
      <w:tr w:rsidR="00BB1A71" w:rsidRPr="00D56B44" w14:paraId="38D1ED36" w14:textId="77777777" w:rsidTr="0001525E">
        <w:tc>
          <w:tcPr>
            <w:tcW w:w="8359" w:type="dxa"/>
          </w:tcPr>
          <w:p w14:paraId="343F2D1A" w14:textId="30BE143B" w:rsidR="00BB1A71" w:rsidRPr="00EE3FF7" w:rsidRDefault="00BB1A71" w:rsidP="00BB1A71">
            <w:pPr>
              <w:spacing w:line="247" w:lineRule="auto"/>
              <w:rPr>
                <w:rFonts w:ascii="Arial" w:eastAsia="Times New Roman" w:hAnsi="Arial" w:cs="Arial"/>
                <w:color w:val="000000"/>
                <w:sz w:val="20"/>
                <w:szCs w:val="20"/>
                <w:lang w:eastAsia="en-GB"/>
              </w:rPr>
            </w:pPr>
            <w:r w:rsidRPr="000D2903">
              <w:rPr>
                <w:rFonts w:ascii="Arial" w:eastAsia="Times New Roman" w:hAnsi="Arial" w:cs="Arial"/>
                <w:color w:val="000000"/>
                <w:sz w:val="20"/>
                <w:szCs w:val="20"/>
                <w:lang w:eastAsia="en-GB"/>
              </w:rPr>
              <w:t>Granular IPO level capital raised - Market Capitalisation on 1st trading day</w:t>
            </w:r>
          </w:p>
        </w:tc>
        <w:tc>
          <w:tcPr>
            <w:tcW w:w="3118" w:type="dxa"/>
          </w:tcPr>
          <w:p w14:paraId="76B207DF" w14:textId="3773EC52" w:rsidR="00BB1A71" w:rsidRPr="00D56B44" w:rsidRDefault="00BB1A71" w:rsidP="00BB1A71">
            <w:pPr>
              <w:spacing w:line="247" w:lineRule="auto"/>
              <w:rPr>
                <w:rFonts w:ascii="Arial" w:eastAsia="Times New Roman" w:hAnsi="Arial" w:cs="Arial"/>
                <w:color w:val="000000"/>
                <w:sz w:val="20"/>
                <w:szCs w:val="20"/>
                <w:lang w:eastAsia="en-GB"/>
              </w:rPr>
            </w:pPr>
            <w:r w:rsidRPr="00EB2C19">
              <w:rPr>
                <w:rFonts w:ascii="Arial" w:hAnsi="Arial" w:cs="Arial"/>
                <w:color w:val="000000"/>
                <w:sz w:val="20"/>
                <w:szCs w:val="20"/>
              </w:rPr>
              <w:t>Monetary ( 000 000 )</w:t>
            </w:r>
          </w:p>
        </w:tc>
        <w:tc>
          <w:tcPr>
            <w:tcW w:w="2410" w:type="dxa"/>
          </w:tcPr>
          <w:p w14:paraId="26E4F684" w14:textId="77777777" w:rsidR="00BB1A71" w:rsidRPr="00D56B44" w:rsidRDefault="00BB1A71" w:rsidP="00BB1A71">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Monthly </w:t>
            </w:r>
          </w:p>
        </w:tc>
      </w:tr>
      <w:tr w:rsidR="00BB1A71" w:rsidRPr="00D56B44" w14:paraId="7CC02CEA" w14:textId="77777777" w:rsidTr="0001525E">
        <w:tc>
          <w:tcPr>
            <w:tcW w:w="8359" w:type="dxa"/>
          </w:tcPr>
          <w:p w14:paraId="6886007D" w14:textId="50F0F0D6" w:rsidR="00BB1A71" w:rsidRPr="00D56B44" w:rsidRDefault="00BB1A71" w:rsidP="00BB1A71">
            <w:pPr>
              <w:spacing w:line="247" w:lineRule="auto"/>
              <w:rPr>
                <w:rFonts w:ascii="Arial" w:eastAsia="Times New Roman" w:hAnsi="Arial" w:cs="Arial"/>
                <w:color w:val="000000"/>
                <w:sz w:val="20"/>
                <w:szCs w:val="20"/>
                <w:lang w:eastAsia="en-GB"/>
              </w:rPr>
            </w:pPr>
            <w:r w:rsidRPr="000D2903">
              <w:rPr>
                <w:rFonts w:ascii="Arial" w:eastAsia="Times New Roman" w:hAnsi="Arial" w:cs="Arial"/>
                <w:color w:val="000000"/>
                <w:sz w:val="20"/>
                <w:szCs w:val="20"/>
                <w:lang w:eastAsia="en-GB"/>
              </w:rPr>
              <w:t>Granular IPO level capital raised - Capital raised through IPO</w:t>
            </w:r>
            <w:r>
              <w:rPr>
                <w:rFonts w:ascii="Arial" w:eastAsia="Times New Roman" w:hAnsi="Arial" w:cs="Arial"/>
                <w:color w:val="000000"/>
                <w:sz w:val="20"/>
                <w:szCs w:val="20"/>
                <w:lang w:eastAsia="en-GB"/>
              </w:rPr>
              <w:t xml:space="preserve"> </w:t>
            </w:r>
            <w:r w:rsidRPr="000D2903">
              <w:rPr>
                <w:rFonts w:ascii="Arial" w:eastAsia="Times New Roman" w:hAnsi="Arial" w:cs="Arial"/>
                <w:color w:val="000000"/>
                <w:sz w:val="20"/>
                <w:szCs w:val="20"/>
                <w:lang w:eastAsia="en-GB"/>
              </w:rPr>
              <w:t>(Newly issued shares)</w:t>
            </w:r>
          </w:p>
        </w:tc>
        <w:tc>
          <w:tcPr>
            <w:tcW w:w="3118" w:type="dxa"/>
          </w:tcPr>
          <w:p w14:paraId="77CDAD5F" w14:textId="635402AA" w:rsidR="00BB1A71" w:rsidRPr="00D56B44" w:rsidRDefault="00BB1A71" w:rsidP="00BB1A71">
            <w:pPr>
              <w:spacing w:line="247" w:lineRule="auto"/>
              <w:rPr>
                <w:rFonts w:ascii="Arial" w:eastAsia="Times New Roman" w:hAnsi="Arial" w:cs="Arial"/>
                <w:color w:val="000000"/>
                <w:sz w:val="20"/>
                <w:szCs w:val="20"/>
                <w:lang w:eastAsia="en-GB"/>
              </w:rPr>
            </w:pPr>
            <w:r w:rsidRPr="00EB2C19">
              <w:rPr>
                <w:rFonts w:ascii="Arial" w:hAnsi="Arial" w:cs="Arial"/>
                <w:color w:val="000000"/>
                <w:sz w:val="20"/>
                <w:szCs w:val="20"/>
              </w:rPr>
              <w:t>Monetary ( 000 000 )</w:t>
            </w:r>
          </w:p>
        </w:tc>
        <w:tc>
          <w:tcPr>
            <w:tcW w:w="2410" w:type="dxa"/>
          </w:tcPr>
          <w:p w14:paraId="28812048" w14:textId="77777777" w:rsidR="00BB1A71" w:rsidRPr="00D56B44" w:rsidRDefault="00BB1A71" w:rsidP="00BB1A71">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BB1A71" w:rsidRPr="00D56B44" w14:paraId="1F1400E3" w14:textId="77777777" w:rsidTr="0001525E">
        <w:tc>
          <w:tcPr>
            <w:tcW w:w="8359" w:type="dxa"/>
          </w:tcPr>
          <w:p w14:paraId="73880723" w14:textId="465430C9" w:rsidR="00BB1A71" w:rsidRPr="00D56B44" w:rsidRDefault="00BB1A71" w:rsidP="00BB1A71">
            <w:pPr>
              <w:spacing w:line="247" w:lineRule="auto"/>
              <w:rPr>
                <w:rFonts w:ascii="Arial" w:eastAsia="Times New Roman" w:hAnsi="Arial" w:cs="Arial"/>
                <w:color w:val="000000"/>
                <w:sz w:val="20"/>
                <w:szCs w:val="20"/>
                <w:lang w:eastAsia="en-GB"/>
              </w:rPr>
            </w:pPr>
            <w:r w:rsidRPr="000D2903">
              <w:rPr>
                <w:rFonts w:ascii="Arial" w:eastAsia="Times New Roman" w:hAnsi="Arial" w:cs="Arial"/>
                <w:color w:val="000000"/>
                <w:sz w:val="20"/>
                <w:szCs w:val="20"/>
                <w:lang w:eastAsia="en-GB"/>
              </w:rPr>
              <w:t>Granular IPO level capital raised - Capital raised through IPO</w:t>
            </w:r>
            <w:r>
              <w:rPr>
                <w:rFonts w:ascii="Arial" w:eastAsia="Times New Roman" w:hAnsi="Arial" w:cs="Arial"/>
                <w:color w:val="000000"/>
                <w:sz w:val="20"/>
                <w:szCs w:val="20"/>
                <w:lang w:eastAsia="en-GB"/>
              </w:rPr>
              <w:t xml:space="preserve"> </w:t>
            </w:r>
            <w:r w:rsidRPr="000D2903">
              <w:rPr>
                <w:rFonts w:ascii="Arial" w:eastAsia="Times New Roman" w:hAnsi="Arial" w:cs="Arial"/>
                <w:color w:val="000000"/>
                <w:sz w:val="20"/>
                <w:szCs w:val="20"/>
                <w:lang w:eastAsia="en-GB"/>
              </w:rPr>
              <w:t>(Already issued shares)</w:t>
            </w:r>
          </w:p>
        </w:tc>
        <w:tc>
          <w:tcPr>
            <w:tcW w:w="3118" w:type="dxa"/>
          </w:tcPr>
          <w:p w14:paraId="4486CCEA" w14:textId="2C6F0E9D" w:rsidR="00BB1A71" w:rsidRDefault="00BB1A71" w:rsidP="00BB1A71">
            <w:pPr>
              <w:spacing w:line="247" w:lineRule="auto"/>
              <w:rPr>
                <w:rFonts w:ascii="Arial" w:eastAsia="Times New Roman" w:hAnsi="Arial" w:cs="Arial"/>
                <w:color w:val="000000"/>
                <w:sz w:val="20"/>
                <w:szCs w:val="20"/>
                <w:lang w:eastAsia="en-GB"/>
              </w:rPr>
            </w:pPr>
            <w:r w:rsidRPr="00EB2C19">
              <w:rPr>
                <w:rFonts w:ascii="Arial" w:hAnsi="Arial" w:cs="Arial"/>
                <w:color w:val="000000"/>
                <w:sz w:val="20"/>
                <w:szCs w:val="20"/>
              </w:rPr>
              <w:t>Monetary ( 000 000 )</w:t>
            </w:r>
          </w:p>
        </w:tc>
        <w:tc>
          <w:tcPr>
            <w:tcW w:w="2410" w:type="dxa"/>
          </w:tcPr>
          <w:p w14:paraId="027008F3" w14:textId="77777777" w:rsidR="00BB1A71" w:rsidRDefault="00BB1A71" w:rsidP="00BB1A71">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1B00CB" w:rsidRPr="00D56B44" w14:paraId="4E37F5B6" w14:textId="77777777" w:rsidTr="0001525E">
        <w:tc>
          <w:tcPr>
            <w:tcW w:w="8359" w:type="dxa"/>
          </w:tcPr>
          <w:p w14:paraId="5D72B731" w14:textId="7977103D"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Company name</w:t>
            </w:r>
          </w:p>
        </w:tc>
        <w:tc>
          <w:tcPr>
            <w:tcW w:w="3118" w:type="dxa"/>
          </w:tcPr>
          <w:p w14:paraId="14EAC286" w14:textId="58F637C8"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0D353B7E" w14:textId="4E99BE00"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367C12FB" w14:textId="77777777" w:rsidTr="0001525E">
        <w:tc>
          <w:tcPr>
            <w:tcW w:w="8359" w:type="dxa"/>
          </w:tcPr>
          <w:p w14:paraId="023B7F20" w14:textId="6E871282"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Foreign/Domestic</w:t>
            </w:r>
          </w:p>
        </w:tc>
        <w:tc>
          <w:tcPr>
            <w:tcW w:w="3118" w:type="dxa"/>
          </w:tcPr>
          <w:p w14:paraId="3F88A300" w14:textId="14F5EB88"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77E20F91" w14:textId="2076B70A"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06B93419" w14:textId="77777777" w:rsidTr="0001525E">
        <w:tc>
          <w:tcPr>
            <w:tcW w:w="8359" w:type="dxa"/>
          </w:tcPr>
          <w:p w14:paraId="1D172349" w14:textId="072972A2"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Listing date</w:t>
            </w:r>
          </w:p>
        </w:tc>
        <w:tc>
          <w:tcPr>
            <w:tcW w:w="3118" w:type="dxa"/>
          </w:tcPr>
          <w:p w14:paraId="1BB16497" w14:textId="7B5293C2"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7F6CA9C0" w14:textId="7089FF03"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64FD36F2" w14:textId="77777777" w:rsidTr="0001525E">
        <w:tc>
          <w:tcPr>
            <w:tcW w:w="8359" w:type="dxa"/>
          </w:tcPr>
          <w:p w14:paraId="005AEAC1" w14:textId="3A823B6A"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Listing venue</w:t>
            </w:r>
          </w:p>
        </w:tc>
        <w:tc>
          <w:tcPr>
            <w:tcW w:w="3118" w:type="dxa"/>
          </w:tcPr>
          <w:p w14:paraId="3AECABC8" w14:textId="60208CF7"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2486DDF1" w14:textId="6A45C23E"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2A3EFDB9" w14:textId="77777777" w:rsidTr="0001525E">
        <w:tc>
          <w:tcPr>
            <w:tcW w:w="8359" w:type="dxa"/>
          </w:tcPr>
          <w:p w14:paraId="2E3BFCE7" w14:textId="5A26C453"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ISIN</w:t>
            </w:r>
          </w:p>
        </w:tc>
        <w:tc>
          <w:tcPr>
            <w:tcW w:w="3118" w:type="dxa"/>
          </w:tcPr>
          <w:p w14:paraId="4E61F91E" w14:textId="663C9F69"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1F9ECD84" w14:textId="6EAF4FD7"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72C698C9" w14:textId="77777777" w:rsidTr="0001525E">
        <w:tc>
          <w:tcPr>
            <w:tcW w:w="8359" w:type="dxa"/>
          </w:tcPr>
          <w:p w14:paraId="5E34273B" w14:textId="2923AFF8"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Type of company</w:t>
            </w:r>
          </w:p>
        </w:tc>
        <w:tc>
          <w:tcPr>
            <w:tcW w:w="3118" w:type="dxa"/>
          </w:tcPr>
          <w:p w14:paraId="11D1FB25" w14:textId="73DB51BC"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3F9C85D2" w14:textId="1F22B591"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bl>
    <w:p w14:paraId="53DA3603" w14:textId="77777777" w:rsidR="00B51A1B" w:rsidRPr="00D56B44" w:rsidRDefault="00B51A1B" w:rsidP="00B51A1B">
      <w:pPr>
        <w:spacing w:line="247" w:lineRule="auto"/>
        <w:rPr>
          <w:rFonts w:ascii="Arial" w:hAnsi="Arial" w:cs="Arial"/>
          <w:sz w:val="20"/>
          <w:szCs w:val="20"/>
        </w:rPr>
      </w:pPr>
      <w:r>
        <w:rPr>
          <w:rFonts w:ascii="Arial" w:hAnsi="Arial" w:cs="Arial"/>
          <w:sz w:val="20"/>
          <w:szCs w:val="20"/>
        </w:rPr>
        <w:tab/>
      </w:r>
    </w:p>
    <w:p w14:paraId="2891E214" w14:textId="77777777" w:rsidR="00FA2FEF" w:rsidRDefault="00FA2FEF">
      <w:r>
        <w:br w:type="page"/>
      </w:r>
    </w:p>
    <w:tbl>
      <w:tblPr>
        <w:tblStyle w:val="TableGrid"/>
        <w:tblW w:w="0" w:type="auto"/>
        <w:tblCellMar>
          <w:top w:w="28" w:type="dxa"/>
          <w:bottom w:w="28" w:type="dxa"/>
        </w:tblCellMar>
        <w:tblLook w:val="04A0" w:firstRow="1" w:lastRow="0" w:firstColumn="1" w:lastColumn="0" w:noHBand="0" w:noVBand="1"/>
      </w:tblPr>
      <w:tblGrid>
        <w:gridCol w:w="8359"/>
        <w:gridCol w:w="3118"/>
        <w:gridCol w:w="2471"/>
      </w:tblGrid>
      <w:tr w:rsidR="007644B2" w:rsidRPr="00D56B44" w14:paraId="37DC8C78" w14:textId="77777777" w:rsidTr="00FA2FEF">
        <w:trPr>
          <w:trHeight w:val="246"/>
        </w:trPr>
        <w:tc>
          <w:tcPr>
            <w:tcW w:w="13948" w:type="dxa"/>
            <w:gridSpan w:val="3"/>
            <w:shd w:val="clear" w:color="auto" w:fill="4472C4" w:themeFill="accent1"/>
          </w:tcPr>
          <w:p w14:paraId="35772BEA" w14:textId="50E45E4F" w:rsidR="007644B2" w:rsidRPr="00FA2FEF" w:rsidRDefault="007644B2" w:rsidP="00DA7135">
            <w:pPr>
              <w:spacing w:line="247" w:lineRule="auto"/>
              <w:rPr>
                <w:rFonts w:ascii="Arial" w:hAnsi="Arial" w:cs="Arial"/>
                <w:color w:val="FFFFFF" w:themeColor="background1"/>
                <w:sz w:val="20"/>
                <w:szCs w:val="20"/>
              </w:rPr>
            </w:pPr>
            <w:r w:rsidRPr="00D56B44">
              <w:rPr>
                <w:rFonts w:ascii="Arial" w:hAnsi="Arial" w:cs="Arial"/>
                <w:b/>
                <w:color w:val="FFFFFF" w:themeColor="background1"/>
                <w:sz w:val="20"/>
                <w:szCs w:val="20"/>
              </w:rPr>
              <w:lastRenderedPageBreak/>
              <w:t>Asset Class</w:t>
            </w:r>
          </w:p>
        </w:tc>
      </w:tr>
      <w:tr w:rsidR="00E46DCD" w:rsidRPr="00D545C4" w14:paraId="76776BEF" w14:textId="77777777" w:rsidTr="0065536D">
        <w:trPr>
          <w:trHeight w:val="413"/>
        </w:trPr>
        <w:tc>
          <w:tcPr>
            <w:tcW w:w="13948" w:type="dxa"/>
            <w:gridSpan w:val="3"/>
            <w:vAlign w:val="center"/>
          </w:tcPr>
          <w:p w14:paraId="2D49776D" w14:textId="60940B85" w:rsidR="00E46DCD" w:rsidRPr="00D545C4" w:rsidRDefault="00C6686E" w:rsidP="00812D6F">
            <w:pPr>
              <w:spacing w:line="247" w:lineRule="auto"/>
              <w:rPr>
                <w:rFonts w:ascii="Arial" w:hAnsi="Arial" w:cs="Arial"/>
                <w:b/>
                <w:bCs/>
                <w:caps/>
                <w:smallCaps/>
                <w:sz w:val="20"/>
                <w:szCs w:val="20"/>
                <w:u w:val="single"/>
              </w:rPr>
            </w:pPr>
            <w:r w:rsidRPr="006A1335">
              <w:rPr>
                <w:rFonts w:ascii="Arial" w:hAnsi="Arial" w:cs="Arial"/>
                <w:b/>
                <w:bCs/>
                <w:sz w:val="28"/>
                <w:szCs w:val="28"/>
              </w:rPr>
              <w:fldChar w:fldCharType="begin"/>
            </w:r>
            <w:r w:rsidRPr="006A1335">
              <w:rPr>
                <w:rFonts w:ascii="Arial" w:hAnsi="Arial" w:cs="Arial"/>
                <w:b/>
                <w:bCs/>
                <w:sz w:val="28"/>
                <w:szCs w:val="28"/>
              </w:rPr>
              <w:instrText xml:space="preserve"> REF _Ref14259479 \h  \* MERGEFORMAT </w:instrText>
            </w:r>
            <w:r w:rsidRPr="006A1335">
              <w:rPr>
                <w:rFonts w:ascii="Arial" w:hAnsi="Arial" w:cs="Arial"/>
                <w:b/>
                <w:bCs/>
                <w:sz w:val="28"/>
                <w:szCs w:val="28"/>
              </w:rPr>
            </w:r>
            <w:r w:rsidRPr="006A1335">
              <w:rPr>
                <w:rFonts w:ascii="Arial" w:hAnsi="Arial" w:cs="Arial"/>
                <w:b/>
                <w:bCs/>
                <w:sz w:val="28"/>
                <w:szCs w:val="28"/>
              </w:rPr>
              <w:fldChar w:fldCharType="separate"/>
            </w:r>
            <w:r w:rsidR="0094528E" w:rsidRPr="00990C5B">
              <w:rPr>
                <w:rFonts w:ascii="Arial" w:hAnsi="Arial" w:cs="Arial"/>
                <w:b/>
                <w:bCs/>
                <w:sz w:val="28"/>
                <w:szCs w:val="28"/>
              </w:rPr>
              <w:t>Asset Class - Derivatives</w:t>
            </w:r>
            <w:r w:rsidRPr="006A1335">
              <w:rPr>
                <w:rFonts w:ascii="Arial" w:hAnsi="Arial" w:cs="Arial"/>
                <w:b/>
                <w:bCs/>
                <w:sz w:val="28"/>
                <w:szCs w:val="28"/>
              </w:rPr>
              <w:fldChar w:fldCharType="end"/>
            </w:r>
          </w:p>
        </w:tc>
      </w:tr>
      <w:tr w:rsidR="007644B2" w:rsidRPr="00D56B44" w14:paraId="2DF5D396" w14:textId="77777777" w:rsidTr="0065536D">
        <w:tc>
          <w:tcPr>
            <w:tcW w:w="13948" w:type="dxa"/>
            <w:gridSpan w:val="3"/>
            <w:shd w:val="clear" w:color="auto" w:fill="8EAADB" w:themeFill="accent1" w:themeFillTint="99"/>
          </w:tcPr>
          <w:p w14:paraId="3A3C14C6" w14:textId="3A0F300A" w:rsidR="007644B2" w:rsidRPr="00D56B44" w:rsidRDefault="007644B2" w:rsidP="00DA7135">
            <w:pPr>
              <w:spacing w:line="247" w:lineRule="auto"/>
              <w:rPr>
                <w:rFonts w:ascii="Arial" w:hAnsi="Arial" w:cs="Arial"/>
                <w:b/>
                <w:sz w:val="20"/>
                <w:szCs w:val="20"/>
              </w:rPr>
            </w:pPr>
            <w:r w:rsidRPr="00D56B44">
              <w:rPr>
                <w:rFonts w:ascii="Arial" w:hAnsi="Arial" w:cs="Arial"/>
                <w:b/>
                <w:sz w:val="20"/>
                <w:szCs w:val="20"/>
              </w:rPr>
              <w:t>Products</w:t>
            </w:r>
          </w:p>
        </w:tc>
      </w:tr>
      <w:tr w:rsidR="007644B2" w:rsidRPr="00812D6F" w14:paraId="7B081F02" w14:textId="77777777" w:rsidTr="0065536D">
        <w:tc>
          <w:tcPr>
            <w:tcW w:w="13948" w:type="dxa"/>
            <w:gridSpan w:val="3"/>
          </w:tcPr>
          <w:p w14:paraId="32C9993A" w14:textId="1A793DD8"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Single Stock Options &amp; Futures</w:t>
            </w:r>
          </w:p>
        </w:tc>
      </w:tr>
      <w:tr w:rsidR="007644B2" w:rsidRPr="00812D6F" w14:paraId="27C0E076" w14:textId="77777777" w:rsidTr="0065536D">
        <w:tc>
          <w:tcPr>
            <w:tcW w:w="13948" w:type="dxa"/>
            <w:gridSpan w:val="3"/>
          </w:tcPr>
          <w:p w14:paraId="1F4EA948" w14:textId="0CC0C269"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Stock Index Options &amp; Futures</w:t>
            </w:r>
          </w:p>
        </w:tc>
      </w:tr>
      <w:tr w:rsidR="007644B2" w:rsidRPr="00812D6F" w14:paraId="7119A119" w14:textId="77777777" w:rsidTr="0065536D">
        <w:tc>
          <w:tcPr>
            <w:tcW w:w="13948" w:type="dxa"/>
            <w:gridSpan w:val="3"/>
          </w:tcPr>
          <w:p w14:paraId="38355564" w14:textId="7F1FD812"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ETF Options &amp; Futures</w:t>
            </w:r>
          </w:p>
        </w:tc>
      </w:tr>
      <w:tr w:rsidR="007644B2" w:rsidRPr="00812D6F" w14:paraId="4B17187D" w14:textId="77777777" w:rsidTr="0065536D">
        <w:tc>
          <w:tcPr>
            <w:tcW w:w="13948" w:type="dxa"/>
            <w:gridSpan w:val="3"/>
          </w:tcPr>
          <w:p w14:paraId="1F953F1E" w14:textId="77777777"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Interest Rate Options and Futures</w:t>
            </w:r>
          </w:p>
          <w:p w14:paraId="02CF0FAA" w14:textId="77777777" w:rsidR="008B45F8" w:rsidRPr="00812D6F" w:rsidRDefault="008B45F8"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Short Term Interest Rate Options and Futures</w:t>
            </w:r>
          </w:p>
          <w:p w14:paraId="4355BBEC" w14:textId="60747111" w:rsidR="008B45F8" w:rsidRPr="00812D6F" w:rsidRDefault="008B45F8"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Long Term Interest Rate Options and Futures</w:t>
            </w:r>
          </w:p>
        </w:tc>
      </w:tr>
      <w:tr w:rsidR="007644B2" w:rsidRPr="00812D6F" w14:paraId="26E1EE5A" w14:textId="77777777" w:rsidTr="0065536D">
        <w:tc>
          <w:tcPr>
            <w:tcW w:w="13948" w:type="dxa"/>
            <w:gridSpan w:val="3"/>
          </w:tcPr>
          <w:p w14:paraId="0D7399DA" w14:textId="5C5CB2A2"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Currency Options and Futures</w:t>
            </w:r>
          </w:p>
        </w:tc>
      </w:tr>
      <w:tr w:rsidR="007644B2" w:rsidRPr="00812D6F" w14:paraId="1B8F1F91" w14:textId="77777777" w:rsidTr="0065536D">
        <w:tc>
          <w:tcPr>
            <w:tcW w:w="13948" w:type="dxa"/>
            <w:gridSpan w:val="3"/>
          </w:tcPr>
          <w:p w14:paraId="41EF7CAF" w14:textId="6F46BAED"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Commodity Options and Futures</w:t>
            </w:r>
          </w:p>
        </w:tc>
      </w:tr>
      <w:tr w:rsidR="0053146F" w:rsidRPr="00812D6F" w14:paraId="75FD83B9" w14:textId="77777777" w:rsidTr="0065536D">
        <w:tc>
          <w:tcPr>
            <w:tcW w:w="13948" w:type="dxa"/>
            <w:gridSpan w:val="3"/>
          </w:tcPr>
          <w:p w14:paraId="0BB9E7C7" w14:textId="5ACCE39B" w:rsidR="0053146F" w:rsidRPr="00812D6F" w:rsidRDefault="00F7730F"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Precious Metals Options and Futures</w:t>
            </w:r>
          </w:p>
        </w:tc>
      </w:tr>
      <w:tr w:rsidR="0053146F" w:rsidRPr="00812D6F" w14:paraId="4D397326" w14:textId="77777777" w:rsidTr="0065536D">
        <w:tc>
          <w:tcPr>
            <w:tcW w:w="13948" w:type="dxa"/>
            <w:gridSpan w:val="3"/>
          </w:tcPr>
          <w:p w14:paraId="0BDA353F" w14:textId="76EBF073" w:rsidR="0053146F" w:rsidRPr="00812D6F" w:rsidRDefault="00F7730F"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Non-precious Metals Options and Futures</w:t>
            </w:r>
          </w:p>
        </w:tc>
      </w:tr>
      <w:tr w:rsidR="0053146F" w:rsidRPr="00812D6F" w14:paraId="067C7514" w14:textId="77777777" w:rsidTr="0065536D">
        <w:tc>
          <w:tcPr>
            <w:tcW w:w="13948" w:type="dxa"/>
            <w:gridSpan w:val="3"/>
          </w:tcPr>
          <w:p w14:paraId="3F74FF8C" w14:textId="147091CE" w:rsidR="0053146F" w:rsidRPr="00812D6F" w:rsidRDefault="00F7730F"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w:t>
            </w:r>
            <w:r w:rsidR="0076459C" w:rsidRPr="00812D6F">
              <w:rPr>
                <w:rFonts w:ascii="Arial" w:hAnsi="Arial" w:cs="Arial"/>
                <w:b/>
                <w:bCs/>
                <w:smallCaps/>
                <w:sz w:val="20"/>
                <w:szCs w:val="20"/>
              </w:rPr>
              <w:t>Energy Options and Futures</w:t>
            </w:r>
          </w:p>
        </w:tc>
      </w:tr>
      <w:tr w:rsidR="0053146F" w:rsidRPr="00812D6F" w14:paraId="7B8521C8" w14:textId="77777777" w:rsidTr="0065536D">
        <w:tc>
          <w:tcPr>
            <w:tcW w:w="13948" w:type="dxa"/>
            <w:gridSpan w:val="3"/>
          </w:tcPr>
          <w:p w14:paraId="23DD4AA3" w14:textId="300181AC" w:rsidR="0053146F" w:rsidRPr="00812D6F" w:rsidRDefault="0076459C"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Agriculture</w:t>
            </w:r>
            <w:r w:rsidR="009419D0" w:rsidRPr="00812D6F">
              <w:rPr>
                <w:rFonts w:ascii="Arial" w:hAnsi="Arial" w:cs="Arial"/>
                <w:b/>
                <w:bCs/>
                <w:smallCaps/>
                <w:sz w:val="20"/>
                <w:szCs w:val="20"/>
              </w:rPr>
              <w:t xml:space="preserve"> Options and Futures</w:t>
            </w:r>
          </w:p>
        </w:tc>
      </w:tr>
      <w:tr w:rsidR="0053146F" w:rsidRPr="00812D6F" w14:paraId="526D81F4" w14:textId="77777777" w:rsidTr="0065536D">
        <w:tc>
          <w:tcPr>
            <w:tcW w:w="13948" w:type="dxa"/>
            <w:gridSpan w:val="3"/>
          </w:tcPr>
          <w:p w14:paraId="526D9EAF" w14:textId="3D4699D6" w:rsidR="0053146F" w:rsidRPr="00812D6F" w:rsidRDefault="009419D0"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w:t>
            </w:r>
            <w:r w:rsidR="00E852BD" w:rsidRPr="00812D6F">
              <w:rPr>
                <w:rFonts w:ascii="Arial" w:hAnsi="Arial" w:cs="Arial"/>
                <w:b/>
                <w:bCs/>
                <w:smallCaps/>
                <w:sz w:val="20"/>
                <w:szCs w:val="20"/>
              </w:rPr>
              <w:t>Index Commodity Derivatives Options and Futures</w:t>
            </w:r>
          </w:p>
        </w:tc>
      </w:tr>
      <w:tr w:rsidR="00E3207D" w:rsidRPr="00D56B44" w14:paraId="137A4914" w14:textId="77777777" w:rsidTr="0065536D">
        <w:tc>
          <w:tcPr>
            <w:tcW w:w="8359" w:type="dxa"/>
            <w:shd w:val="clear" w:color="auto" w:fill="D9E2F3" w:themeFill="accent1" w:themeFillTint="33"/>
          </w:tcPr>
          <w:p w14:paraId="5CBAB6EB" w14:textId="77777777" w:rsidR="00E3207D" w:rsidRPr="00D56B44" w:rsidRDefault="00E3207D" w:rsidP="00DA7135">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519A5940" w14:textId="0197A37D" w:rsidR="00E3207D" w:rsidRPr="00D56B44" w:rsidRDefault="007644B2" w:rsidP="00DA7135">
            <w:pPr>
              <w:spacing w:line="247" w:lineRule="auto"/>
              <w:rPr>
                <w:rFonts w:ascii="Arial" w:hAnsi="Arial" w:cs="Arial"/>
                <w:b/>
                <w:sz w:val="20"/>
                <w:szCs w:val="20"/>
              </w:rPr>
            </w:pPr>
            <w:r>
              <w:rPr>
                <w:rFonts w:ascii="Arial" w:hAnsi="Arial" w:cs="Arial"/>
                <w:b/>
                <w:sz w:val="20"/>
                <w:szCs w:val="20"/>
              </w:rPr>
              <w:t>Indicator type</w:t>
            </w:r>
          </w:p>
        </w:tc>
        <w:tc>
          <w:tcPr>
            <w:tcW w:w="2471" w:type="dxa"/>
            <w:shd w:val="clear" w:color="auto" w:fill="D9E2F3" w:themeFill="accent1" w:themeFillTint="33"/>
          </w:tcPr>
          <w:p w14:paraId="02084CE3" w14:textId="605BF738" w:rsidR="00E3207D" w:rsidRPr="00D56B44" w:rsidRDefault="007644B2" w:rsidP="00DA7135">
            <w:pPr>
              <w:spacing w:line="247" w:lineRule="auto"/>
              <w:rPr>
                <w:rFonts w:ascii="Arial" w:hAnsi="Arial" w:cs="Arial"/>
                <w:b/>
                <w:sz w:val="20"/>
                <w:szCs w:val="20"/>
              </w:rPr>
            </w:pPr>
            <w:r>
              <w:rPr>
                <w:rFonts w:ascii="Arial" w:hAnsi="Arial" w:cs="Arial"/>
                <w:b/>
                <w:sz w:val="20"/>
                <w:szCs w:val="20"/>
              </w:rPr>
              <w:t>Frequency</w:t>
            </w:r>
          </w:p>
        </w:tc>
      </w:tr>
      <w:tr w:rsidR="00E3207D" w:rsidRPr="00D56B44" w14:paraId="6A013233" w14:textId="77777777" w:rsidTr="0065536D">
        <w:tc>
          <w:tcPr>
            <w:tcW w:w="8359" w:type="dxa"/>
          </w:tcPr>
          <w:p w14:paraId="555248FA" w14:textId="77777777" w:rsidR="00E3207D" w:rsidRPr="00EE3FF7" w:rsidRDefault="00E3207D"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Contracts traded</w:t>
            </w:r>
          </w:p>
        </w:tc>
        <w:tc>
          <w:tcPr>
            <w:tcW w:w="3118" w:type="dxa"/>
          </w:tcPr>
          <w:p w14:paraId="0F56B275" w14:textId="3595AA8D" w:rsidR="00E3207D" w:rsidRPr="00D56B44" w:rsidRDefault="0004623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71" w:type="dxa"/>
          </w:tcPr>
          <w:p w14:paraId="50C67EF4" w14:textId="0F34C35D" w:rsidR="00E3207D" w:rsidRPr="00D56B44" w:rsidRDefault="00122657"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E3207D" w:rsidRPr="00D56B44" w14:paraId="5B4F7AAA" w14:textId="77777777" w:rsidTr="0065536D">
        <w:tc>
          <w:tcPr>
            <w:tcW w:w="8359" w:type="dxa"/>
          </w:tcPr>
          <w:p w14:paraId="4AEFCD61" w14:textId="77777777" w:rsidR="00E3207D" w:rsidRPr="00EE3FF7" w:rsidRDefault="00E3207D"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Notional Value</w:t>
            </w:r>
          </w:p>
        </w:tc>
        <w:tc>
          <w:tcPr>
            <w:tcW w:w="3118" w:type="dxa"/>
          </w:tcPr>
          <w:p w14:paraId="4E76E023" w14:textId="2620DF77" w:rsidR="00E3207D" w:rsidRPr="00D56B44" w:rsidRDefault="0004623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71" w:type="dxa"/>
          </w:tcPr>
          <w:p w14:paraId="6CA6EFEE" w14:textId="41E7CA20" w:rsidR="00E3207D" w:rsidRPr="00D56B44" w:rsidRDefault="00122657"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E3207D" w:rsidRPr="00D56B44" w14:paraId="2E5F61B4" w14:textId="77777777" w:rsidTr="0065536D">
        <w:tc>
          <w:tcPr>
            <w:tcW w:w="8359" w:type="dxa"/>
          </w:tcPr>
          <w:p w14:paraId="1321B9AE" w14:textId="77777777" w:rsidR="00E3207D" w:rsidRPr="00EE3FF7" w:rsidRDefault="00E3207D"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Open Interest</w:t>
            </w:r>
          </w:p>
        </w:tc>
        <w:tc>
          <w:tcPr>
            <w:tcW w:w="3118" w:type="dxa"/>
          </w:tcPr>
          <w:p w14:paraId="3CD17CB7" w14:textId="75731C2A" w:rsidR="00E3207D" w:rsidRPr="00D56B44" w:rsidRDefault="0004623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71" w:type="dxa"/>
          </w:tcPr>
          <w:p w14:paraId="0FDD0D99" w14:textId="3054BFE0" w:rsidR="00E3207D" w:rsidRPr="00D56B44" w:rsidRDefault="00122657"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bl>
    <w:p w14:paraId="1C33F5EF" w14:textId="77777777" w:rsidR="00574A8B" w:rsidRPr="00D56B44" w:rsidRDefault="00574A8B" w:rsidP="00DA7135">
      <w:pPr>
        <w:spacing w:line="247" w:lineRule="auto"/>
        <w:rPr>
          <w:rFonts w:ascii="Arial" w:hAnsi="Arial" w:cs="Arial"/>
          <w:sz w:val="20"/>
          <w:szCs w:val="20"/>
        </w:rPr>
      </w:pPr>
    </w:p>
    <w:p w14:paraId="4359990E" w14:textId="77777777" w:rsidR="00FA2FEF" w:rsidRDefault="00FA2FEF">
      <w:r>
        <w:br w:type="page"/>
      </w:r>
    </w:p>
    <w:tbl>
      <w:tblPr>
        <w:tblStyle w:val="TableGrid"/>
        <w:tblW w:w="0" w:type="auto"/>
        <w:tblLook w:val="04A0" w:firstRow="1" w:lastRow="0" w:firstColumn="1" w:lastColumn="0" w:noHBand="0" w:noVBand="1"/>
      </w:tblPr>
      <w:tblGrid>
        <w:gridCol w:w="8359"/>
        <w:gridCol w:w="3118"/>
        <w:gridCol w:w="2471"/>
      </w:tblGrid>
      <w:tr w:rsidR="00385FC7" w:rsidRPr="00D56B44" w14:paraId="2EDEAD95" w14:textId="77777777" w:rsidTr="0001525E">
        <w:tc>
          <w:tcPr>
            <w:tcW w:w="13948" w:type="dxa"/>
            <w:gridSpan w:val="3"/>
            <w:shd w:val="clear" w:color="auto" w:fill="4472C4" w:themeFill="accent1"/>
          </w:tcPr>
          <w:p w14:paraId="7B2AAA92" w14:textId="5580A57D" w:rsidR="00385FC7" w:rsidRPr="00D56B44" w:rsidRDefault="00385FC7" w:rsidP="00DA7135">
            <w:pPr>
              <w:spacing w:line="247" w:lineRule="auto"/>
              <w:rPr>
                <w:rFonts w:ascii="Arial" w:hAnsi="Arial" w:cs="Arial"/>
                <w:b/>
                <w:color w:val="FFFFFF" w:themeColor="background1"/>
                <w:sz w:val="20"/>
                <w:szCs w:val="20"/>
              </w:rPr>
            </w:pPr>
            <w:r w:rsidRPr="00D56B44">
              <w:rPr>
                <w:rFonts w:ascii="Arial" w:hAnsi="Arial" w:cs="Arial"/>
                <w:b/>
                <w:color w:val="FFFFFF" w:themeColor="background1"/>
                <w:sz w:val="20"/>
                <w:szCs w:val="20"/>
              </w:rPr>
              <w:lastRenderedPageBreak/>
              <w:t>Asset Class</w:t>
            </w:r>
          </w:p>
        </w:tc>
      </w:tr>
      <w:tr w:rsidR="00385FC7" w:rsidRPr="00BB3031" w14:paraId="599281AF" w14:textId="77777777" w:rsidTr="00BB3031">
        <w:trPr>
          <w:trHeight w:val="449"/>
        </w:trPr>
        <w:tc>
          <w:tcPr>
            <w:tcW w:w="13948" w:type="dxa"/>
            <w:gridSpan w:val="3"/>
            <w:shd w:val="clear" w:color="auto" w:fill="auto"/>
            <w:vAlign w:val="center"/>
          </w:tcPr>
          <w:p w14:paraId="74617355" w14:textId="0A68A8FC" w:rsidR="00385FC7" w:rsidRPr="00BB3031" w:rsidRDefault="00385FC7" w:rsidP="00BB3031">
            <w:pPr>
              <w:spacing w:line="247" w:lineRule="auto"/>
              <w:rPr>
                <w:rFonts w:ascii="Arial" w:hAnsi="Arial" w:cs="Arial"/>
                <w:b/>
                <w:bCs/>
                <w:caps/>
                <w:sz w:val="20"/>
                <w:szCs w:val="20"/>
              </w:rPr>
            </w:pPr>
            <w:r w:rsidRPr="00BB3031">
              <w:rPr>
                <w:rFonts w:ascii="Arial" w:hAnsi="Arial" w:cs="Arial"/>
                <w:b/>
                <w:bCs/>
                <w:caps/>
                <w:sz w:val="20"/>
                <w:szCs w:val="20"/>
              </w:rPr>
              <w:t>Bonds</w:t>
            </w:r>
          </w:p>
        </w:tc>
      </w:tr>
      <w:tr w:rsidR="00385FC7" w:rsidRPr="00D56B44" w14:paraId="6B459B69" w14:textId="77777777" w:rsidTr="0001525E">
        <w:tc>
          <w:tcPr>
            <w:tcW w:w="13948" w:type="dxa"/>
            <w:gridSpan w:val="3"/>
            <w:shd w:val="clear" w:color="auto" w:fill="8EAADB" w:themeFill="accent1" w:themeFillTint="99"/>
          </w:tcPr>
          <w:p w14:paraId="014265BC" w14:textId="0F5E3FE7" w:rsidR="00385FC7" w:rsidRPr="00D56B44" w:rsidRDefault="00385FC7" w:rsidP="00DA7135">
            <w:pPr>
              <w:spacing w:line="247" w:lineRule="auto"/>
              <w:rPr>
                <w:rFonts w:ascii="Arial" w:hAnsi="Arial" w:cs="Arial"/>
                <w:b/>
                <w:sz w:val="20"/>
                <w:szCs w:val="20"/>
              </w:rPr>
            </w:pPr>
            <w:r w:rsidRPr="00D56B44">
              <w:rPr>
                <w:rFonts w:ascii="Arial" w:hAnsi="Arial" w:cs="Arial"/>
                <w:b/>
                <w:sz w:val="20"/>
                <w:szCs w:val="20"/>
              </w:rPr>
              <w:t>Product</w:t>
            </w:r>
          </w:p>
        </w:tc>
      </w:tr>
      <w:tr w:rsidR="00C6686E" w:rsidRPr="00C6686E" w14:paraId="38E4E858" w14:textId="77777777" w:rsidTr="00BB3031">
        <w:trPr>
          <w:trHeight w:val="461"/>
        </w:trPr>
        <w:tc>
          <w:tcPr>
            <w:tcW w:w="13948" w:type="dxa"/>
            <w:gridSpan w:val="3"/>
            <w:shd w:val="clear" w:color="auto" w:fill="auto"/>
            <w:vAlign w:val="center"/>
          </w:tcPr>
          <w:p w14:paraId="781E2E58" w14:textId="538D0998" w:rsidR="00385FC7" w:rsidRPr="00EB0C9F" w:rsidRDefault="00C6686E" w:rsidP="00BB3031">
            <w:pPr>
              <w:spacing w:line="247" w:lineRule="auto"/>
              <w:rPr>
                <w:rFonts w:ascii="Arial" w:hAnsi="Arial" w:cs="Arial"/>
                <w:b/>
                <w:bCs/>
                <w:i/>
                <w:iCs/>
                <w:smallCaps/>
                <w:color w:val="002060"/>
                <w:sz w:val="20"/>
                <w:szCs w:val="20"/>
                <w:u w:val="single"/>
              </w:rPr>
            </w:pPr>
            <w:r w:rsidRPr="00EB0C9F">
              <w:rPr>
                <w:rFonts w:ascii="Arial" w:hAnsi="Arial" w:cs="Arial"/>
                <w:b/>
                <w:bCs/>
                <w:i/>
                <w:iCs/>
                <w:smallCaps/>
                <w:color w:val="1F3864" w:themeColor="accent1" w:themeShade="80"/>
                <w:sz w:val="20"/>
                <w:szCs w:val="20"/>
                <w:u w:val="single"/>
              </w:rPr>
              <w:fldChar w:fldCharType="begin"/>
            </w:r>
            <w:r w:rsidRPr="00EB0C9F">
              <w:rPr>
                <w:rFonts w:ascii="Arial" w:hAnsi="Arial" w:cs="Arial"/>
                <w:b/>
                <w:bCs/>
                <w:i/>
                <w:iCs/>
                <w:smallCaps/>
                <w:color w:val="1F3864" w:themeColor="accent1" w:themeShade="80"/>
                <w:sz w:val="20"/>
                <w:szCs w:val="20"/>
                <w:u w:val="single"/>
              </w:rPr>
              <w:instrText xml:space="preserve"> REF _Ref14259574 \h  \* MERGEFORMAT </w:instrText>
            </w:r>
            <w:r w:rsidRPr="00EB0C9F">
              <w:rPr>
                <w:rFonts w:ascii="Arial" w:hAnsi="Arial" w:cs="Arial"/>
                <w:b/>
                <w:bCs/>
                <w:i/>
                <w:iCs/>
                <w:smallCaps/>
                <w:color w:val="1F3864" w:themeColor="accent1" w:themeShade="80"/>
                <w:sz w:val="20"/>
                <w:szCs w:val="20"/>
                <w:u w:val="single"/>
              </w:rPr>
            </w:r>
            <w:r w:rsidRPr="00EB0C9F">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u w:val="single"/>
              </w:rPr>
              <w:t>Product</w:t>
            </w:r>
            <w:r w:rsidR="0094528E" w:rsidRPr="00501F5C">
              <w:rPr>
                <w:rFonts w:ascii="Arial" w:hAnsi="Arial" w:cs="Arial"/>
                <w:b/>
                <w:bCs/>
                <w:i/>
                <w:iCs/>
              </w:rPr>
              <w:t xml:space="preserve"> - Bonds</w:t>
            </w:r>
            <w:r w:rsidRPr="00EB0C9F">
              <w:rPr>
                <w:rFonts w:ascii="Arial" w:hAnsi="Arial" w:cs="Arial"/>
                <w:b/>
                <w:bCs/>
                <w:i/>
                <w:iCs/>
                <w:smallCaps/>
                <w:color w:val="1F3864" w:themeColor="accent1" w:themeShade="80"/>
                <w:sz w:val="20"/>
                <w:szCs w:val="20"/>
                <w:u w:val="single"/>
              </w:rPr>
              <w:fldChar w:fldCharType="end"/>
            </w:r>
          </w:p>
        </w:tc>
      </w:tr>
      <w:tr w:rsidR="00122657" w:rsidRPr="00D56B44" w14:paraId="6C613056" w14:textId="77777777" w:rsidTr="00122657">
        <w:tc>
          <w:tcPr>
            <w:tcW w:w="8359" w:type="dxa"/>
            <w:shd w:val="clear" w:color="auto" w:fill="D9E2F3" w:themeFill="accent1" w:themeFillTint="33"/>
          </w:tcPr>
          <w:p w14:paraId="40B253E8" w14:textId="77777777" w:rsidR="00122657" w:rsidRPr="00D56B44" w:rsidRDefault="00122657" w:rsidP="00DA7135">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0414B8B9" w14:textId="34878CD1" w:rsidR="00122657" w:rsidRPr="00D56B44" w:rsidRDefault="00385FC7" w:rsidP="00DA7135">
            <w:pPr>
              <w:spacing w:line="247" w:lineRule="auto"/>
              <w:rPr>
                <w:rFonts w:ascii="Arial" w:hAnsi="Arial" w:cs="Arial"/>
                <w:b/>
                <w:sz w:val="20"/>
                <w:szCs w:val="20"/>
              </w:rPr>
            </w:pPr>
            <w:r w:rsidRPr="00385FC7">
              <w:rPr>
                <w:rFonts w:ascii="Arial" w:hAnsi="Arial" w:cs="Arial"/>
                <w:b/>
                <w:sz w:val="20"/>
                <w:szCs w:val="20"/>
              </w:rPr>
              <w:t>Indicator type</w:t>
            </w:r>
          </w:p>
        </w:tc>
        <w:tc>
          <w:tcPr>
            <w:tcW w:w="2471" w:type="dxa"/>
            <w:shd w:val="clear" w:color="auto" w:fill="D9E2F3" w:themeFill="accent1" w:themeFillTint="33"/>
          </w:tcPr>
          <w:p w14:paraId="1449C041" w14:textId="319E87F6" w:rsidR="00122657" w:rsidRPr="00D56B44" w:rsidRDefault="00385FC7" w:rsidP="00DA7135">
            <w:pPr>
              <w:spacing w:line="247" w:lineRule="auto"/>
              <w:rPr>
                <w:rFonts w:ascii="Arial" w:hAnsi="Arial" w:cs="Arial"/>
                <w:b/>
                <w:sz w:val="20"/>
                <w:szCs w:val="20"/>
              </w:rPr>
            </w:pPr>
            <w:r>
              <w:rPr>
                <w:rFonts w:ascii="Arial" w:hAnsi="Arial" w:cs="Arial"/>
                <w:b/>
                <w:sz w:val="20"/>
                <w:szCs w:val="20"/>
              </w:rPr>
              <w:t>Frequency</w:t>
            </w:r>
          </w:p>
        </w:tc>
      </w:tr>
      <w:tr w:rsidR="00122657" w:rsidRPr="00D56B44" w14:paraId="4B670705" w14:textId="77777777" w:rsidTr="00122657">
        <w:tc>
          <w:tcPr>
            <w:tcW w:w="8359" w:type="dxa"/>
            <w:vAlign w:val="bottom"/>
          </w:tcPr>
          <w:p w14:paraId="67885252" w14:textId="77777777" w:rsidR="00122657" w:rsidRPr="00D56B44" w:rsidRDefault="00122657"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(Domestic private sector)</w:t>
            </w:r>
          </w:p>
        </w:tc>
        <w:tc>
          <w:tcPr>
            <w:tcW w:w="3118" w:type="dxa"/>
          </w:tcPr>
          <w:p w14:paraId="32B5F041" w14:textId="0C5CCA8F" w:rsidR="00122657" w:rsidRPr="00D56B44" w:rsidRDefault="00D33981"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71" w:type="dxa"/>
          </w:tcPr>
          <w:p w14:paraId="73CAF006" w14:textId="123913B6" w:rsidR="00122657" w:rsidRPr="00D56B44" w:rsidRDefault="00122657"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Monthly and Annual</w:t>
            </w:r>
          </w:p>
        </w:tc>
      </w:tr>
      <w:tr w:rsidR="00227A86" w:rsidRPr="00D56B44" w14:paraId="1BE3D5BB" w14:textId="77777777" w:rsidTr="00122657">
        <w:tc>
          <w:tcPr>
            <w:tcW w:w="8359" w:type="dxa"/>
            <w:vAlign w:val="bottom"/>
          </w:tcPr>
          <w:p w14:paraId="4A8539EF"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(Domestic public sector)</w:t>
            </w:r>
          </w:p>
        </w:tc>
        <w:tc>
          <w:tcPr>
            <w:tcW w:w="3118" w:type="dxa"/>
          </w:tcPr>
          <w:p w14:paraId="3C7DA6FD" w14:textId="5057B867"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740C6DF9" w14:textId="3D15EA00"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372E7DA" w14:textId="77777777" w:rsidTr="00122657">
        <w:tc>
          <w:tcPr>
            <w:tcW w:w="8359" w:type="dxa"/>
            <w:vAlign w:val="bottom"/>
          </w:tcPr>
          <w:p w14:paraId="0E8B2C8C"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(Foreign)</w:t>
            </w:r>
          </w:p>
        </w:tc>
        <w:tc>
          <w:tcPr>
            <w:tcW w:w="3118" w:type="dxa"/>
          </w:tcPr>
          <w:p w14:paraId="2F3DB722" w14:textId="504A1D83"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0C38A086" w14:textId="0CBEE85B"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8978351" w14:textId="77777777" w:rsidTr="00122657">
        <w:tc>
          <w:tcPr>
            <w:tcW w:w="8359" w:type="dxa"/>
            <w:vAlign w:val="bottom"/>
          </w:tcPr>
          <w:p w14:paraId="1A3598B9"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(Total)</w:t>
            </w:r>
          </w:p>
        </w:tc>
        <w:tc>
          <w:tcPr>
            <w:tcW w:w="3118" w:type="dxa"/>
          </w:tcPr>
          <w:p w14:paraId="41F3202D" w14:textId="465AF91D"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1530B4DF" w14:textId="12E4A32F"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6C62E245" w14:textId="77777777" w:rsidTr="00122657">
        <w:tc>
          <w:tcPr>
            <w:tcW w:w="8359" w:type="dxa"/>
            <w:vAlign w:val="bottom"/>
          </w:tcPr>
          <w:p w14:paraId="379565A9"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(Domestic private sector)</w:t>
            </w:r>
          </w:p>
        </w:tc>
        <w:tc>
          <w:tcPr>
            <w:tcW w:w="3118" w:type="dxa"/>
          </w:tcPr>
          <w:p w14:paraId="47835155" w14:textId="2B13B52A"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7969D6D0" w14:textId="6854F76C"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3BC2E1EA" w14:textId="77777777" w:rsidTr="00122657">
        <w:tc>
          <w:tcPr>
            <w:tcW w:w="8359" w:type="dxa"/>
            <w:vAlign w:val="bottom"/>
          </w:tcPr>
          <w:p w14:paraId="288F62E2"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(Domestic public sector)</w:t>
            </w:r>
          </w:p>
        </w:tc>
        <w:tc>
          <w:tcPr>
            <w:tcW w:w="3118" w:type="dxa"/>
          </w:tcPr>
          <w:p w14:paraId="2562E818" w14:textId="2E19C7C1"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1FD14EA5" w14:textId="1EA4D0AA"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D2B2736" w14:textId="77777777" w:rsidTr="00122657">
        <w:tc>
          <w:tcPr>
            <w:tcW w:w="8359" w:type="dxa"/>
            <w:vAlign w:val="bottom"/>
          </w:tcPr>
          <w:p w14:paraId="3E619CE8"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(Foreign)</w:t>
            </w:r>
          </w:p>
        </w:tc>
        <w:tc>
          <w:tcPr>
            <w:tcW w:w="3118" w:type="dxa"/>
          </w:tcPr>
          <w:p w14:paraId="45CDA2E2" w14:textId="2E10F322"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41CD5463" w14:textId="33E5C8D9"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39394C60" w14:textId="77777777" w:rsidTr="00122657">
        <w:tc>
          <w:tcPr>
            <w:tcW w:w="8359" w:type="dxa"/>
            <w:vAlign w:val="bottom"/>
          </w:tcPr>
          <w:p w14:paraId="7B8C4D3B"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(Total)</w:t>
            </w:r>
          </w:p>
        </w:tc>
        <w:tc>
          <w:tcPr>
            <w:tcW w:w="3118" w:type="dxa"/>
          </w:tcPr>
          <w:p w14:paraId="34C6853C" w14:textId="5B4C25C8"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507BD222" w14:textId="1157046D"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5C185C5A" w14:textId="77777777" w:rsidTr="00122657">
        <w:tc>
          <w:tcPr>
            <w:tcW w:w="8359" w:type="dxa"/>
            <w:vAlign w:val="bottom"/>
          </w:tcPr>
          <w:p w14:paraId="6633D989"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domestic private sector)</w:t>
            </w:r>
          </w:p>
        </w:tc>
        <w:tc>
          <w:tcPr>
            <w:tcW w:w="3118" w:type="dxa"/>
          </w:tcPr>
          <w:p w14:paraId="4F61B63B" w14:textId="142442C5" w:rsidR="00227A86" w:rsidRPr="00D56B44" w:rsidRDefault="00227A8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71" w:type="dxa"/>
          </w:tcPr>
          <w:p w14:paraId="6E2D54BA" w14:textId="52518A09"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6E48DA64" w14:textId="77777777" w:rsidTr="00122657">
        <w:tc>
          <w:tcPr>
            <w:tcW w:w="8359" w:type="dxa"/>
            <w:vAlign w:val="bottom"/>
          </w:tcPr>
          <w:p w14:paraId="2D9BE168"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domestic public sector)</w:t>
            </w:r>
          </w:p>
        </w:tc>
        <w:tc>
          <w:tcPr>
            <w:tcW w:w="3118" w:type="dxa"/>
          </w:tcPr>
          <w:p w14:paraId="069E76FA" w14:textId="7BE9148D"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50231E29" w14:textId="1D295D34"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01D575F" w14:textId="77777777" w:rsidTr="00122657">
        <w:tc>
          <w:tcPr>
            <w:tcW w:w="8359" w:type="dxa"/>
            <w:vAlign w:val="bottom"/>
          </w:tcPr>
          <w:p w14:paraId="7BEF23D0"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foreign)</w:t>
            </w:r>
          </w:p>
        </w:tc>
        <w:tc>
          <w:tcPr>
            <w:tcW w:w="3118" w:type="dxa"/>
          </w:tcPr>
          <w:p w14:paraId="2FEAC1D7" w14:textId="37C66AE5"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203DDB93" w14:textId="56E956E0"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A92E7DD" w14:textId="77777777" w:rsidTr="00122657">
        <w:tc>
          <w:tcPr>
            <w:tcW w:w="8359" w:type="dxa"/>
            <w:vAlign w:val="bottom"/>
          </w:tcPr>
          <w:p w14:paraId="00AD7723"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total)</w:t>
            </w:r>
          </w:p>
        </w:tc>
        <w:tc>
          <w:tcPr>
            <w:tcW w:w="3118" w:type="dxa"/>
          </w:tcPr>
          <w:p w14:paraId="145880E0" w14:textId="51FFAED4"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19C01FDC" w14:textId="50B6B80D"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C26FA76" w14:textId="77777777" w:rsidTr="00122657">
        <w:tc>
          <w:tcPr>
            <w:tcW w:w="8359" w:type="dxa"/>
            <w:vAlign w:val="bottom"/>
          </w:tcPr>
          <w:p w14:paraId="70D5FD7F"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domestic private sector)</w:t>
            </w:r>
          </w:p>
        </w:tc>
        <w:tc>
          <w:tcPr>
            <w:tcW w:w="3118" w:type="dxa"/>
          </w:tcPr>
          <w:p w14:paraId="45D6D542" w14:textId="58E2DA79"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5C6AE6D9" w14:textId="0CBF9B0D"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C73E044" w14:textId="77777777" w:rsidTr="00122657">
        <w:tc>
          <w:tcPr>
            <w:tcW w:w="8359" w:type="dxa"/>
            <w:vAlign w:val="bottom"/>
          </w:tcPr>
          <w:p w14:paraId="4E633C5C"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domestic public sector)</w:t>
            </w:r>
          </w:p>
        </w:tc>
        <w:tc>
          <w:tcPr>
            <w:tcW w:w="3118" w:type="dxa"/>
          </w:tcPr>
          <w:p w14:paraId="0E3AF6D4" w14:textId="11E43D89"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500F77CD" w14:textId="2DABEA69"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834E155" w14:textId="77777777" w:rsidTr="00122657">
        <w:tc>
          <w:tcPr>
            <w:tcW w:w="8359" w:type="dxa"/>
            <w:vAlign w:val="bottom"/>
          </w:tcPr>
          <w:p w14:paraId="046F8705"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foreign)</w:t>
            </w:r>
          </w:p>
        </w:tc>
        <w:tc>
          <w:tcPr>
            <w:tcW w:w="3118" w:type="dxa"/>
          </w:tcPr>
          <w:p w14:paraId="114CF605" w14:textId="7C19619F"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459B7719" w14:textId="374C89D3"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EA8B35F" w14:textId="77777777" w:rsidTr="00122657">
        <w:tc>
          <w:tcPr>
            <w:tcW w:w="8359" w:type="dxa"/>
            <w:vAlign w:val="bottom"/>
          </w:tcPr>
          <w:p w14:paraId="1FB55F42"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total)</w:t>
            </w:r>
          </w:p>
        </w:tc>
        <w:tc>
          <w:tcPr>
            <w:tcW w:w="3118" w:type="dxa"/>
          </w:tcPr>
          <w:p w14:paraId="7B401DE5" w14:textId="74C2FB15"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0C1437AE" w14:textId="0E5028AA"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14ED8D2F" w14:textId="77777777" w:rsidTr="00122657">
        <w:tc>
          <w:tcPr>
            <w:tcW w:w="8359" w:type="dxa"/>
            <w:vAlign w:val="bottom"/>
          </w:tcPr>
          <w:p w14:paraId="28F64750"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 domestic private sector)</w:t>
            </w:r>
          </w:p>
        </w:tc>
        <w:tc>
          <w:tcPr>
            <w:tcW w:w="3118" w:type="dxa"/>
          </w:tcPr>
          <w:p w14:paraId="0EAF6011" w14:textId="77274B3D"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0B1A8F06" w14:textId="3434C066"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3A426C4D" w14:textId="77777777" w:rsidTr="00122657">
        <w:tc>
          <w:tcPr>
            <w:tcW w:w="8359" w:type="dxa"/>
            <w:vAlign w:val="bottom"/>
          </w:tcPr>
          <w:p w14:paraId="784DF9CB"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 domestic public sector)</w:t>
            </w:r>
          </w:p>
        </w:tc>
        <w:tc>
          <w:tcPr>
            <w:tcW w:w="3118" w:type="dxa"/>
          </w:tcPr>
          <w:p w14:paraId="56BA852E" w14:textId="397E51AE"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6274EA03" w14:textId="66C5DD32"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A2785BD" w14:textId="77777777" w:rsidTr="00122657">
        <w:tc>
          <w:tcPr>
            <w:tcW w:w="8359" w:type="dxa"/>
            <w:vAlign w:val="bottom"/>
          </w:tcPr>
          <w:p w14:paraId="21419F70"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 foreign)</w:t>
            </w:r>
          </w:p>
        </w:tc>
        <w:tc>
          <w:tcPr>
            <w:tcW w:w="3118" w:type="dxa"/>
          </w:tcPr>
          <w:p w14:paraId="33110DB5" w14:textId="3E10570E"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6D8E60E1" w14:textId="4FC3C6B1"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5DDA5A09" w14:textId="77777777" w:rsidTr="00122657">
        <w:tc>
          <w:tcPr>
            <w:tcW w:w="8359" w:type="dxa"/>
            <w:vAlign w:val="bottom"/>
          </w:tcPr>
          <w:p w14:paraId="294249A7"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w:t>
            </w:r>
          </w:p>
        </w:tc>
        <w:tc>
          <w:tcPr>
            <w:tcW w:w="3118" w:type="dxa"/>
          </w:tcPr>
          <w:p w14:paraId="6747CE5B" w14:textId="13E87B92"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6F1042AA" w14:textId="24AA53FC"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6AEDB323" w14:textId="77777777" w:rsidTr="00122657">
        <w:tc>
          <w:tcPr>
            <w:tcW w:w="8359" w:type="dxa"/>
            <w:vAlign w:val="bottom"/>
          </w:tcPr>
          <w:p w14:paraId="1CBCE2DD"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trades (EOB)</w:t>
            </w:r>
          </w:p>
        </w:tc>
        <w:tc>
          <w:tcPr>
            <w:tcW w:w="3118" w:type="dxa"/>
          </w:tcPr>
          <w:p w14:paraId="43858205" w14:textId="2A2AD73C" w:rsidR="00227A86" w:rsidRPr="00D56B44" w:rsidRDefault="00227A8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71" w:type="dxa"/>
          </w:tcPr>
          <w:p w14:paraId="1557F8BA" w14:textId="3564C2AA"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98E887A" w14:textId="77777777" w:rsidTr="00122657">
        <w:tc>
          <w:tcPr>
            <w:tcW w:w="8359" w:type="dxa"/>
            <w:vAlign w:val="bottom"/>
          </w:tcPr>
          <w:p w14:paraId="3BFE2F11"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trades (Negotiated deals)</w:t>
            </w:r>
          </w:p>
        </w:tc>
        <w:tc>
          <w:tcPr>
            <w:tcW w:w="3118" w:type="dxa"/>
          </w:tcPr>
          <w:p w14:paraId="49D9A933" w14:textId="4E8F7A17" w:rsidR="00227A86" w:rsidRPr="00D56B44" w:rsidRDefault="00227A86" w:rsidP="00DA7135">
            <w:pPr>
              <w:spacing w:line="247" w:lineRule="auto"/>
              <w:rPr>
                <w:rFonts w:ascii="Arial" w:eastAsia="Times New Roman" w:hAnsi="Arial" w:cs="Arial"/>
                <w:color w:val="000000"/>
                <w:sz w:val="20"/>
                <w:szCs w:val="20"/>
                <w:lang w:eastAsia="en-GB"/>
              </w:rPr>
            </w:pPr>
            <w:r w:rsidRPr="009F59FF">
              <w:rPr>
                <w:rFonts w:ascii="Arial" w:eastAsia="Times New Roman" w:hAnsi="Arial" w:cs="Arial"/>
                <w:color w:val="000000"/>
                <w:sz w:val="20"/>
                <w:szCs w:val="20"/>
                <w:lang w:eastAsia="en-GB"/>
              </w:rPr>
              <w:t>Decimal (000)</w:t>
            </w:r>
          </w:p>
        </w:tc>
        <w:tc>
          <w:tcPr>
            <w:tcW w:w="2471" w:type="dxa"/>
          </w:tcPr>
          <w:p w14:paraId="216061A4" w14:textId="758CBE9C"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1F413BD7" w14:textId="77777777" w:rsidTr="00122657">
        <w:tc>
          <w:tcPr>
            <w:tcW w:w="8359" w:type="dxa"/>
            <w:vAlign w:val="bottom"/>
          </w:tcPr>
          <w:p w14:paraId="3C167721"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trades (Total)</w:t>
            </w:r>
          </w:p>
        </w:tc>
        <w:tc>
          <w:tcPr>
            <w:tcW w:w="3118" w:type="dxa"/>
          </w:tcPr>
          <w:p w14:paraId="66E07C07" w14:textId="714BA9A8" w:rsidR="00227A86" w:rsidRPr="00D56B44" w:rsidRDefault="00227A86" w:rsidP="00DA7135">
            <w:pPr>
              <w:spacing w:line="247" w:lineRule="auto"/>
              <w:rPr>
                <w:rFonts w:ascii="Arial" w:eastAsia="Times New Roman" w:hAnsi="Arial" w:cs="Arial"/>
                <w:color w:val="000000"/>
                <w:sz w:val="20"/>
                <w:szCs w:val="20"/>
                <w:lang w:eastAsia="en-GB"/>
              </w:rPr>
            </w:pPr>
            <w:r w:rsidRPr="009F59FF">
              <w:rPr>
                <w:rFonts w:ascii="Arial" w:eastAsia="Times New Roman" w:hAnsi="Arial" w:cs="Arial"/>
                <w:color w:val="000000"/>
                <w:sz w:val="20"/>
                <w:szCs w:val="20"/>
                <w:lang w:eastAsia="en-GB"/>
              </w:rPr>
              <w:t>Decimal (000)</w:t>
            </w:r>
          </w:p>
        </w:tc>
        <w:tc>
          <w:tcPr>
            <w:tcW w:w="2471" w:type="dxa"/>
          </w:tcPr>
          <w:p w14:paraId="44E4F96A" w14:textId="3379521F"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81AFB" w:rsidRPr="00D56B44" w14:paraId="4C814132" w14:textId="77777777" w:rsidTr="0001525E">
        <w:tc>
          <w:tcPr>
            <w:tcW w:w="8359" w:type="dxa"/>
          </w:tcPr>
          <w:p w14:paraId="6734737A" w14:textId="68C6AE55"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(Domestic private sector)</w:t>
            </w:r>
          </w:p>
        </w:tc>
        <w:tc>
          <w:tcPr>
            <w:tcW w:w="3118" w:type="dxa"/>
          </w:tcPr>
          <w:p w14:paraId="623F0F72" w14:textId="07A46E4A"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2840797C" w14:textId="3B66A358"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2F3F8376" w14:textId="77777777" w:rsidTr="0001525E">
        <w:tc>
          <w:tcPr>
            <w:tcW w:w="8359" w:type="dxa"/>
          </w:tcPr>
          <w:p w14:paraId="1BF6702A" w14:textId="291AEE96"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(Domestic public sector)</w:t>
            </w:r>
          </w:p>
        </w:tc>
        <w:tc>
          <w:tcPr>
            <w:tcW w:w="3118" w:type="dxa"/>
          </w:tcPr>
          <w:p w14:paraId="5839BBC5" w14:textId="4A27C468"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39E55D77" w14:textId="6B9539D6"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486F7617" w14:textId="77777777" w:rsidTr="0001525E">
        <w:tc>
          <w:tcPr>
            <w:tcW w:w="8359" w:type="dxa"/>
          </w:tcPr>
          <w:p w14:paraId="7C18DA8C" w14:textId="093FC610"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(Foreign)</w:t>
            </w:r>
          </w:p>
        </w:tc>
        <w:tc>
          <w:tcPr>
            <w:tcW w:w="3118" w:type="dxa"/>
          </w:tcPr>
          <w:p w14:paraId="60851B4D" w14:textId="72A6941B"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6D754F48" w14:textId="56D8C2E6"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059D2CAD" w14:textId="77777777" w:rsidTr="0001525E">
        <w:tc>
          <w:tcPr>
            <w:tcW w:w="8359" w:type="dxa"/>
          </w:tcPr>
          <w:p w14:paraId="78B9EC70" w14:textId="6E9E17EB"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(Total)</w:t>
            </w:r>
          </w:p>
        </w:tc>
        <w:tc>
          <w:tcPr>
            <w:tcW w:w="3118" w:type="dxa"/>
          </w:tcPr>
          <w:p w14:paraId="0FB08F3C" w14:textId="7B8CD733"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03739EBB" w14:textId="54B9CAA5"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1CA46379" w14:textId="77777777" w:rsidTr="00122657">
        <w:tc>
          <w:tcPr>
            <w:tcW w:w="8359" w:type="dxa"/>
            <w:vAlign w:val="bottom"/>
          </w:tcPr>
          <w:p w14:paraId="0AF0C57B" w14:textId="50DD871E" w:rsidR="00281AFB" w:rsidRPr="00D56B44" w:rsidRDefault="00281AFB" w:rsidP="00DA7135">
            <w:pPr>
              <w:spacing w:line="247" w:lineRule="auto"/>
              <w:rPr>
                <w:rFonts w:ascii="Arial" w:hAnsi="Arial" w:cs="Arial"/>
                <w:color w:val="000000"/>
                <w:sz w:val="20"/>
                <w:szCs w:val="20"/>
              </w:rPr>
            </w:pPr>
            <w:r>
              <w:rPr>
                <w:rFonts w:ascii="Arial" w:hAnsi="Arial" w:cs="Arial"/>
                <w:color w:val="000000"/>
                <w:sz w:val="20"/>
                <w:szCs w:val="20"/>
              </w:rPr>
              <w:t>Value of listings (Domestic private sector)</w:t>
            </w:r>
          </w:p>
        </w:tc>
        <w:tc>
          <w:tcPr>
            <w:tcW w:w="3118" w:type="dxa"/>
          </w:tcPr>
          <w:p w14:paraId="51D4B183" w14:textId="7774FAA2" w:rsidR="00281AFB" w:rsidRPr="009F59FF" w:rsidRDefault="004A0A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71" w:type="dxa"/>
          </w:tcPr>
          <w:p w14:paraId="67AAC069" w14:textId="769FF4A7"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4A0A9F" w:rsidRPr="00D56B44" w14:paraId="006DD92E" w14:textId="77777777" w:rsidTr="00122657">
        <w:tc>
          <w:tcPr>
            <w:tcW w:w="8359" w:type="dxa"/>
            <w:vAlign w:val="bottom"/>
          </w:tcPr>
          <w:p w14:paraId="61100A3C" w14:textId="5D956CF4" w:rsidR="004A0A9F" w:rsidRPr="00D56B44" w:rsidRDefault="004A0A9F" w:rsidP="00DA7135">
            <w:pPr>
              <w:spacing w:line="247" w:lineRule="auto"/>
              <w:rPr>
                <w:rFonts w:ascii="Arial" w:hAnsi="Arial" w:cs="Arial"/>
                <w:color w:val="000000"/>
                <w:sz w:val="20"/>
                <w:szCs w:val="20"/>
              </w:rPr>
            </w:pPr>
            <w:r>
              <w:rPr>
                <w:rFonts w:ascii="Arial" w:hAnsi="Arial" w:cs="Arial"/>
                <w:color w:val="000000"/>
                <w:sz w:val="20"/>
                <w:szCs w:val="20"/>
              </w:rPr>
              <w:t>Value of listings (Domestic public sector)</w:t>
            </w:r>
          </w:p>
        </w:tc>
        <w:tc>
          <w:tcPr>
            <w:tcW w:w="3118" w:type="dxa"/>
          </w:tcPr>
          <w:p w14:paraId="3F658720" w14:textId="78DC51E4" w:rsidR="004A0A9F" w:rsidRPr="009F59FF" w:rsidRDefault="004A0A9F" w:rsidP="00DA7135">
            <w:pPr>
              <w:spacing w:line="247" w:lineRule="auto"/>
              <w:rPr>
                <w:rFonts w:ascii="Arial" w:eastAsia="Times New Roman" w:hAnsi="Arial" w:cs="Arial"/>
                <w:color w:val="000000"/>
                <w:sz w:val="20"/>
                <w:szCs w:val="20"/>
                <w:lang w:eastAsia="en-GB"/>
              </w:rPr>
            </w:pPr>
            <w:r w:rsidRPr="005F360D">
              <w:rPr>
                <w:rFonts w:ascii="Arial" w:eastAsia="Times New Roman" w:hAnsi="Arial" w:cs="Arial"/>
                <w:color w:val="000000"/>
                <w:sz w:val="20"/>
                <w:szCs w:val="20"/>
                <w:lang w:eastAsia="en-GB"/>
              </w:rPr>
              <w:t>Monetary (000 000)</w:t>
            </w:r>
          </w:p>
        </w:tc>
        <w:tc>
          <w:tcPr>
            <w:tcW w:w="2471" w:type="dxa"/>
          </w:tcPr>
          <w:p w14:paraId="34FD9C9C" w14:textId="7179AD44" w:rsidR="004A0A9F" w:rsidRPr="0071761C" w:rsidRDefault="004A0A9F"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4A0A9F" w:rsidRPr="00D56B44" w14:paraId="7D8B9D34" w14:textId="77777777" w:rsidTr="00122657">
        <w:tc>
          <w:tcPr>
            <w:tcW w:w="8359" w:type="dxa"/>
            <w:vAlign w:val="bottom"/>
          </w:tcPr>
          <w:p w14:paraId="3E781C45" w14:textId="4881AB6D" w:rsidR="004A0A9F" w:rsidRPr="00D56B44" w:rsidRDefault="004A0A9F" w:rsidP="00DA7135">
            <w:pPr>
              <w:spacing w:line="247" w:lineRule="auto"/>
              <w:rPr>
                <w:rFonts w:ascii="Arial" w:hAnsi="Arial" w:cs="Arial"/>
                <w:color w:val="000000"/>
                <w:sz w:val="20"/>
                <w:szCs w:val="20"/>
              </w:rPr>
            </w:pPr>
            <w:r>
              <w:rPr>
                <w:rFonts w:ascii="Arial" w:hAnsi="Arial" w:cs="Arial"/>
                <w:color w:val="000000"/>
                <w:sz w:val="20"/>
                <w:szCs w:val="20"/>
              </w:rPr>
              <w:lastRenderedPageBreak/>
              <w:t>Value of listings (Foreign)</w:t>
            </w:r>
          </w:p>
        </w:tc>
        <w:tc>
          <w:tcPr>
            <w:tcW w:w="3118" w:type="dxa"/>
          </w:tcPr>
          <w:p w14:paraId="20E1483A" w14:textId="373E94D0" w:rsidR="004A0A9F" w:rsidRPr="009F59FF" w:rsidRDefault="004A0A9F" w:rsidP="00DA7135">
            <w:pPr>
              <w:spacing w:line="247" w:lineRule="auto"/>
              <w:rPr>
                <w:rFonts w:ascii="Arial" w:eastAsia="Times New Roman" w:hAnsi="Arial" w:cs="Arial"/>
                <w:color w:val="000000"/>
                <w:sz w:val="20"/>
                <w:szCs w:val="20"/>
                <w:lang w:eastAsia="en-GB"/>
              </w:rPr>
            </w:pPr>
            <w:r w:rsidRPr="005F360D">
              <w:rPr>
                <w:rFonts w:ascii="Arial" w:eastAsia="Times New Roman" w:hAnsi="Arial" w:cs="Arial"/>
                <w:color w:val="000000"/>
                <w:sz w:val="20"/>
                <w:szCs w:val="20"/>
                <w:lang w:eastAsia="en-GB"/>
              </w:rPr>
              <w:t>Monetary (000 000)</w:t>
            </w:r>
          </w:p>
        </w:tc>
        <w:tc>
          <w:tcPr>
            <w:tcW w:w="2471" w:type="dxa"/>
          </w:tcPr>
          <w:p w14:paraId="7D9CA5A5" w14:textId="63F8FA9E" w:rsidR="004A0A9F" w:rsidRPr="0071761C" w:rsidRDefault="004A0A9F"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4A0A9F" w:rsidRPr="00D56B44" w14:paraId="1990B097" w14:textId="77777777" w:rsidTr="00122657">
        <w:tc>
          <w:tcPr>
            <w:tcW w:w="8359" w:type="dxa"/>
            <w:vAlign w:val="bottom"/>
          </w:tcPr>
          <w:p w14:paraId="1A93B64F" w14:textId="319A45D2" w:rsidR="004A0A9F" w:rsidRPr="00D56B44" w:rsidRDefault="004A0A9F" w:rsidP="00DA7135">
            <w:pPr>
              <w:spacing w:line="247" w:lineRule="auto"/>
              <w:rPr>
                <w:rFonts w:ascii="Arial" w:hAnsi="Arial" w:cs="Arial"/>
                <w:color w:val="000000"/>
                <w:sz w:val="20"/>
                <w:szCs w:val="20"/>
              </w:rPr>
            </w:pPr>
            <w:r>
              <w:rPr>
                <w:rFonts w:ascii="Arial" w:hAnsi="Arial" w:cs="Arial"/>
                <w:color w:val="000000"/>
                <w:sz w:val="20"/>
                <w:szCs w:val="20"/>
              </w:rPr>
              <w:t>Value of listings (Total)</w:t>
            </w:r>
          </w:p>
        </w:tc>
        <w:tc>
          <w:tcPr>
            <w:tcW w:w="3118" w:type="dxa"/>
          </w:tcPr>
          <w:p w14:paraId="2FC5B391" w14:textId="76DFADAD" w:rsidR="004A0A9F" w:rsidRPr="009F59FF" w:rsidRDefault="004A0A9F" w:rsidP="00DA7135">
            <w:pPr>
              <w:spacing w:line="247" w:lineRule="auto"/>
              <w:rPr>
                <w:rFonts w:ascii="Arial" w:eastAsia="Times New Roman" w:hAnsi="Arial" w:cs="Arial"/>
                <w:color w:val="000000"/>
                <w:sz w:val="20"/>
                <w:szCs w:val="20"/>
                <w:lang w:eastAsia="en-GB"/>
              </w:rPr>
            </w:pPr>
            <w:r w:rsidRPr="005F360D">
              <w:rPr>
                <w:rFonts w:ascii="Arial" w:eastAsia="Times New Roman" w:hAnsi="Arial" w:cs="Arial"/>
                <w:color w:val="000000"/>
                <w:sz w:val="20"/>
                <w:szCs w:val="20"/>
                <w:lang w:eastAsia="en-GB"/>
              </w:rPr>
              <w:t>Monetary (000 000)</w:t>
            </w:r>
          </w:p>
        </w:tc>
        <w:tc>
          <w:tcPr>
            <w:tcW w:w="2471" w:type="dxa"/>
          </w:tcPr>
          <w:p w14:paraId="4E86845D" w14:textId="61B37569" w:rsidR="004A0A9F" w:rsidRPr="0071761C" w:rsidRDefault="004A0A9F"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27A86" w:rsidRPr="00D56B44" w14:paraId="071796BB" w14:textId="77777777" w:rsidTr="00122657">
        <w:tc>
          <w:tcPr>
            <w:tcW w:w="8359" w:type="dxa"/>
            <w:vAlign w:val="bottom"/>
          </w:tcPr>
          <w:p w14:paraId="24A162E6"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(Domestic private sector)</w:t>
            </w:r>
          </w:p>
        </w:tc>
        <w:tc>
          <w:tcPr>
            <w:tcW w:w="3118" w:type="dxa"/>
          </w:tcPr>
          <w:p w14:paraId="65F97C45" w14:textId="056ECCBE"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5E5BE972" w14:textId="4A2E1C1E"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27A86" w:rsidRPr="00D56B44" w14:paraId="0FDF3F90" w14:textId="77777777" w:rsidTr="00122657">
        <w:tc>
          <w:tcPr>
            <w:tcW w:w="8359" w:type="dxa"/>
            <w:vAlign w:val="bottom"/>
          </w:tcPr>
          <w:p w14:paraId="2EFE2F05"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(Domestic public sector)</w:t>
            </w:r>
          </w:p>
        </w:tc>
        <w:tc>
          <w:tcPr>
            <w:tcW w:w="3118" w:type="dxa"/>
          </w:tcPr>
          <w:p w14:paraId="0692A74E" w14:textId="06B14A60"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685E974C" w14:textId="12D81462"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27A86" w:rsidRPr="00D56B44" w14:paraId="350717B2" w14:textId="77777777" w:rsidTr="00122657">
        <w:tc>
          <w:tcPr>
            <w:tcW w:w="8359" w:type="dxa"/>
            <w:vAlign w:val="bottom"/>
          </w:tcPr>
          <w:p w14:paraId="029641F2"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(Foreign)</w:t>
            </w:r>
          </w:p>
        </w:tc>
        <w:tc>
          <w:tcPr>
            <w:tcW w:w="3118" w:type="dxa"/>
          </w:tcPr>
          <w:p w14:paraId="5FAA4822" w14:textId="5A7F04F0"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596C9117" w14:textId="38F30F9A"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27A86" w:rsidRPr="00D56B44" w14:paraId="0AF9A89D" w14:textId="77777777" w:rsidTr="00122657">
        <w:tc>
          <w:tcPr>
            <w:tcW w:w="8359" w:type="dxa"/>
            <w:vAlign w:val="bottom"/>
          </w:tcPr>
          <w:p w14:paraId="6C24C733"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(Total)</w:t>
            </w:r>
          </w:p>
        </w:tc>
        <w:tc>
          <w:tcPr>
            <w:tcW w:w="3118" w:type="dxa"/>
          </w:tcPr>
          <w:p w14:paraId="18496966" w14:textId="55ED50A4"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59FAF0ED" w14:textId="44B614D1"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Monthly and Annual</w:t>
            </w:r>
          </w:p>
        </w:tc>
      </w:tr>
    </w:tbl>
    <w:p w14:paraId="26C653D2" w14:textId="17D1C47F" w:rsidR="00E0760F" w:rsidRDefault="00E0760F" w:rsidP="00DA7135">
      <w:pPr>
        <w:spacing w:line="247" w:lineRule="auto"/>
        <w:rPr>
          <w:rFonts w:ascii="Arial" w:hAnsi="Arial" w:cs="Arial"/>
          <w:sz w:val="20"/>
          <w:szCs w:val="20"/>
        </w:rPr>
      </w:pPr>
    </w:p>
    <w:tbl>
      <w:tblPr>
        <w:tblStyle w:val="TableGrid"/>
        <w:tblW w:w="0" w:type="auto"/>
        <w:tblLook w:val="04A0" w:firstRow="1" w:lastRow="0" w:firstColumn="1" w:lastColumn="0" w:noHBand="0" w:noVBand="1"/>
      </w:tblPr>
      <w:tblGrid>
        <w:gridCol w:w="8359"/>
        <w:gridCol w:w="3118"/>
        <w:gridCol w:w="2410"/>
      </w:tblGrid>
      <w:tr w:rsidR="00AA0E8D" w:rsidRPr="002171E5" w14:paraId="53370E89" w14:textId="77777777" w:rsidTr="0001525E">
        <w:tc>
          <w:tcPr>
            <w:tcW w:w="13887" w:type="dxa"/>
            <w:gridSpan w:val="3"/>
            <w:shd w:val="clear" w:color="auto" w:fill="4472C4" w:themeFill="accent1"/>
          </w:tcPr>
          <w:p w14:paraId="29AC549F" w14:textId="4DE8C4F0" w:rsidR="00AA0E8D" w:rsidRPr="002171E5" w:rsidRDefault="00AA0E8D" w:rsidP="00DA7135">
            <w:pPr>
              <w:spacing w:line="247" w:lineRule="auto"/>
              <w:rPr>
                <w:rFonts w:ascii="Arial" w:hAnsi="Arial" w:cs="Arial"/>
                <w:b/>
                <w:color w:val="FFFFFF" w:themeColor="background1"/>
                <w:sz w:val="20"/>
                <w:szCs w:val="20"/>
              </w:rPr>
            </w:pPr>
            <w:r w:rsidRPr="002171E5">
              <w:rPr>
                <w:rFonts w:ascii="Arial" w:hAnsi="Arial" w:cs="Arial"/>
                <w:b/>
                <w:color w:val="FFFFFF" w:themeColor="background1"/>
                <w:sz w:val="20"/>
                <w:szCs w:val="20"/>
              </w:rPr>
              <w:t>Asset Class</w:t>
            </w:r>
          </w:p>
        </w:tc>
      </w:tr>
      <w:tr w:rsidR="00AA0E8D" w:rsidRPr="00BB3031" w14:paraId="276CE4B8" w14:textId="77777777" w:rsidTr="00BB3031">
        <w:trPr>
          <w:trHeight w:val="481"/>
        </w:trPr>
        <w:tc>
          <w:tcPr>
            <w:tcW w:w="13887" w:type="dxa"/>
            <w:gridSpan w:val="3"/>
            <w:shd w:val="clear" w:color="auto" w:fill="auto"/>
            <w:vAlign w:val="center"/>
          </w:tcPr>
          <w:p w14:paraId="56F59BF5" w14:textId="2A7FE032" w:rsidR="00AA0E8D" w:rsidRPr="00BB3031" w:rsidRDefault="00AA0E8D" w:rsidP="00BB3031">
            <w:pPr>
              <w:spacing w:line="247" w:lineRule="auto"/>
              <w:rPr>
                <w:rFonts w:ascii="Arial" w:hAnsi="Arial" w:cs="Arial"/>
                <w:b/>
                <w:bCs/>
                <w:caps/>
                <w:sz w:val="20"/>
                <w:szCs w:val="20"/>
              </w:rPr>
            </w:pPr>
            <w:r w:rsidRPr="00BB3031">
              <w:rPr>
                <w:rFonts w:ascii="Arial" w:hAnsi="Arial" w:cs="Arial"/>
                <w:b/>
                <w:bCs/>
                <w:caps/>
                <w:sz w:val="20"/>
                <w:szCs w:val="20"/>
              </w:rPr>
              <w:t>Other</w:t>
            </w:r>
          </w:p>
        </w:tc>
      </w:tr>
      <w:tr w:rsidR="00AA0E8D" w:rsidRPr="002171E5" w14:paraId="5E07B46E" w14:textId="77777777" w:rsidTr="0001525E">
        <w:tc>
          <w:tcPr>
            <w:tcW w:w="13887" w:type="dxa"/>
            <w:gridSpan w:val="3"/>
            <w:shd w:val="clear" w:color="auto" w:fill="8EAADB" w:themeFill="accent1" w:themeFillTint="99"/>
          </w:tcPr>
          <w:p w14:paraId="690E20A8" w14:textId="3BC0BC14"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t>Product</w:t>
            </w:r>
          </w:p>
        </w:tc>
      </w:tr>
      <w:tr w:rsidR="00AA0E8D" w:rsidRPr="00C6686E" w14:paraId="79736AA7" w14:textId="77777777" w:rsidTr="00BB3031">
        <w:trPr>
          <w:trHeight w:val="435"/>
        </w:trPr>
        <w:tc>
          <w:tcPr>
            <w:tcW w:w="13887" w:type="dxa"/>
            <w:gridSpan w:val="3"/>
            <w:shd w:val="clear" w:color="auto" w:fill="auto"/>
            <w:vAlign w:val="center"/>
          </w:tcPr>
          <w:p w14:paraId="2333132D" w14:textId="7731158A" w:rsidR="00AA0E8D" w:rsidRPr="00EB0C9F" w:rsidRDefault="00C6686E" w:rsidP="00BB3031">
            <w:pPr>
              <w:spacing w:line="247" w:lineRule="auto"/>
              <w:rPr>
                <w:rFonts w:ascii="Arial" w:hAnsi="Arial" w:cs="Arial"/>
                <w:b/>
                <w:bCs/>
                <w:i/>
                <w:iCs/>
                <w:smallCaps/>
                <w:color w:val="002060"/>
                <w:sz w:val="20"/>
                <w:szCs w:val="20"/>
                <w:u w:val="single"/>
              </w:rPr>
            </w:pPr>
            <w:r w:rsidRPr="00EB0C9F">
              <w:rPr>
                <w:rFonts w:ascii="Arial" w:hAnsi="Arial" w:cs="Arial"/>
                <w:b/>
                <w:bCs/>
                <w:i/>
                <w:iCs/>
                <w:smallCaps/>
                <w:color w:val="1F3864" w:themeColor="accent1" w:themeShade="80"/>
                <w:sz w:val="20"/>
                <w:szCs w:val="20"/>
                <w:u w:val="single"/>
              </w:rPr>
              <w:fldChar w:fldCharType="begin"/>
            </w:r>
            <w:r w:rsidRPr="00EB0C9F">
              <w:rPr>
                <w:rFonts w:ascii="Arial" w:hAnsi="Arial" w:cs="Arial"/>
                <w:b/>
                <w:bCs/>
                <w:i/>
                <w:iCs/>
                <w:smallCaps/>
                <w:color w:val="1F3864" w:themeColor="accent1" w:themeShade="80"/>
                <w:sz w:val="20"/>
                <w:szCs w:val="20"/>
                <w:u w:val="single"/>
              </w:rPr>
              <w:instrText xml:space="preserve"> REF _Ref14259611 \h  \* MERGEFORMAT </w:instrText>
            </w:r>
            <w:r w:rsidRPr="00EB0C9F">
              <w:rPr>
                <w:rFonts w:ascii="Arial" w:hAnsi="Arial" w:cs="Arial"/>
                <w:b/>
                <w:bCs/>
                <w:i/>
                <w:iCs/>
                <w:smallCaps/>
                <w:color w:val="1F3864" w:themeColor="accent1" w:themeShade="80"/>
                <w:sz w:val="20"/>
                <w:szCs w:val="20"/>
                <w:u w:val="single"/>
              </w:rPr>
            </w:r>
            <w:r w:rsidRPr="00EB0C9F">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 Exchange</w:t>
            </w:r>
            <w:r w:rsidR="0094528E" w:rsidRPr="00501F5C">
              <w:rPr>
                <w:rFonts w:ascii="Arial" w:hAnsi="Arial" w:cs="Arial"/>
                <w:b/>
                <w:bCs/>
                <w:i/>
                <w:iCs/>
              </w:rPr>
              <w:t xml:space="preserve"> Traded Funds</w:t>
            </w:r>
            <w:r w:rsidRPr="00EB0C9F">
              <w:rPr>
                <w:rFonts w:ascii="Arial" w:hAnsi="Arial" w:cs="Arial"/>
                <w:b/>
                <w:bCs/>
                <w:i/>
                <w:iCs/>
                <w:smallCaps/>
                <w:color w:val="1F3864" w:themeColor="accent1" w:themeShade="80"/>
                <w:sz w:val="20"/>
                <w:szCs w:val="20"/>
                <w:u w:val="single"/>
              </w:rPr>
              <w:fldChar w:fldCharType="end"/>
            </w:r>
          </w:p>
        </w:tc>
      </w:tr>
      <w:tr w:rsidR="00AA0E8D" w:rsidRPr="002171E5" w14:paraId="7DAE5FFA" w14:textId="77777777" w:rsidTr="00AA0E8D">
        <w:tc>
          <w:tcPr>
            <w:tcW w:w="8359" w:type="dxa"/>
            <w:shd w:val="clear" w:color="auto" w:fill="D9E2F3" w:themeFill="accent1" w:themeFillTint="33"/>
          </w:tcPr>
          <w:p w14:paraId="5BCF898B" w14:textId="77777777"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t>Indicators</w:t>
            </w:r>
          </w:p>
        </w:tc>
        <w:tc>
          <w:tcPr>
            <w:tcW w:w="3118" w:type="dxa"/>
            <w:shd w:val="clear" w:color="auto" w:fill="D9E2F3" w:themeFill="accent1" w:themeFillTint="33"/>
          </w:tcPr>
          <w:p w14:paraId="0DCFF99E" w14:textId="1DC67291" w:rsidR="00AA0E8D" w:rsidRPr="002171E5" w:rsidRDefault="00AA0E8D"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43DC8385" w14:textId="13075FD0" w:rsidR="00AA0E8D" w:rsidRPr="002171E5" w:rsidRDefault="00AA0E8D" w:rsidP="00DA7135">
            <w:pPr>
              <w:spacing w:line="247" w:lineRule="auto"/>
              <w:rPr>
                <w:rFonts w:ascii="Arial" w:hAnsi="Arial" w:cs="Arial"/>
                <w:b/>
                <w:sz w:val="20"/>
                <w:szCs w:val="20"/>
              </w:rPr>
            </w:pPr>
            <w:r>
              <w:rPr>
                <w:rFonts w:ascii="Arial" w:hAnsi="Arial" w:cs="Arial"/>
                <w:b/>
                <w:sz w:val="20"/>
                <w:szCs w:val="20"/>
              </w:rPr>
              <w:t>Frequency</w:t>
            </w:r>
          </w:p>
        </w:tc>
      </w:tr>
      <w:tr w:rsidR="00AA0E8D" w:rsidRPr="002171E5" w14:paraId="772EA97B" w14:textId="77777777" w:rsidTr="00AA0E8D">
        <w:tc>
          <w:tcPr>
            <w:tcW w:w="8359" w:type="dxa"/>
          </w:tcPr>
          <w:p w14:paraId="25A4F1C8" w14:textId="158573E8" w:rsidR="00AA0E8D" w:rsidRPr="002171E5" w:rsidRDefault="00AA0E8D"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listed</w:t>
            </w:r>
          </w:p>
        </w:tc>
        <w:tc>
          <w:tcPr>
            <w:tcW w:w="3118" w:type="dxa"/>
          </w:tcPr>
          <w:p w14:paraId="27B9B85A" w14:textId="7EA80A1A" w:rsidR="00AA0E8D" w:rsidRPr="002171E5" w:rsidRDefault="00AA0E8D"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43DC5827" w14:textId="380E751F" w:rsidR="00AA0E8D" w:rsidRPr="002171E5" w:rsidRDefault="00AA0E8D"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44792F" w:rsidRPr="002171E5" w14:paraId="3F7ACC17" w14:textId="77777777" w:rsidTr="00AA0E8D">
        <w:tc>
          <w:tcPr>
            <w:tcW w:w="8359" w:type="dxa"/>
          </w:tcPr>
          <w:p w14:paraId="5428C14E" w14:textId="3BBC4161"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Value traded (EOB)</w:t>
            </w:r>
          </w:p>
        </w:tc>
        <w:tc>
          <w:tcPr>
            <w:tcW w:w="3118" w:type="dxa"/>
          </w:tcPr>
          <w:p w14:paraId="4DAF7529" w14:textId="06F36AD9" w:rsidR="0044792F" w:rsidRPr="002171E5" w:rsidRDefault="0044792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10" w:type="dxa"/>
          </w:tcPr>
          <w:p w14:paraId="3A8C9D49" w14:textId="6C9169E5"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4D9CD8BA" w14:textId="77777777" w:rsidTr="00AA0E8D">
        <w:tc>
          <w:tcPr>
            <w:tcW w:w="8359" w:type="dxa"/>
          </w:tcPr>
          <w:p w14:paraId="64F46EA3" w14:textId="4025059F"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Value traded (Negotiated Deals)</w:t>
            </w:r>
          </w:p>
        </w:tc>
        <w:tc>
          <w:tcPr>
            <w:tcW w:w="3118" w:type="dxa"/>
          </w:tcPr>
          <w:p w14:paraId="02A6A815" w14:textId="34361A4B" w:rsidR="0044792F" w:rsidRPr="002171E5" w:rsidRDefault="0044792F" w:rsidP="00DA7135">
            <w:pPr>
              <w:spacing w:line="247" w:lineRule="auto"/>
              <w:rPr>
                <w:rFonts w:ascii="Arial" w:eastAsia="Times New Roman" w:hAnsi="Arial" w:cs="Arial"/>
                <w:color w:val="000000"/>
                <w:sz w:val="20"/>
                <w:szCs w:val="20"/>
                <w:lang w:eastAsia="en-GB"/>
              </w:rPr>
            </w:pPr>
            <w:r w:rsidRPr="00151481">
              <w:rPr>
                <w:rFonts w:ascii="Arial" w:eastAsia="Times New Roman" w:hAnsi="Arial" w:cs="Arial"/>
                <w:color w:val="000000"/>
                <w:sz w:val="20"/>
                <w:szCs w:val="20"/>
                <w:lang w:eastAsia="en-GB"/>
              </w:rPr>
              <w:t>Monetary (000 000)</w:t>
            </w:r>
          </w:p>
        </w:tc>
        <w:tc>
          <w:tcPr>
            <w:tcW w:w="2410" w:type="dxa"/>
          </w:tcPr>
          <w:p w14:paraId="10454CB8" w14:textId="21985B1F"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267B9D40" w14:textId="77777777" w:rsidTr="00AA0E8D">
        <w:tc>
          <w:tcPr>
            <w:tcW w:w="8359" w:type="dxa"/>
          </w:tcPr>
          <w:p w14:paraId="15334604" w14:textId="6755875E"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Value traded (Total)</w:t>
            </w:r>
          </w:p>
        </w:tc>
        <w:tc>
          <w:tcPr>
            <w:tcW w:w="3118" w:type="dxa"/>
          </w:tcPr>
          <w:p w14:paraId="199E6FD3" w14:textId="1A9B84AB" w:rsidR="0044792F" w:rsidRPr="002171E5" w:rsidRDefault="0044792F" w:rsidP="00DA7135">
            <w:pPr>
              <w:spacing w:line="247" w:lineRule="auto"/>
              <w:rPr>
                <w:rFonts w:ascii="Arial" w:eastAsia="Times New Roman" w:hAnsi="Arial" w:cs="Arial"/>
                <w:color w:val="000000"/>
                <w:sz w:val="20"/>
                <w:szCs w:val="20"/>
                <w:lang w:eastAsia="en-GB"/>
              </w:rPr>
            </w:pPr>
            <w:r w:rsidRPr="00151481">
              <w:rPr>
                <w:rFonts w:ascii="Arial" w:eastAsia="Times New Roman" w:hAnsi="Arial" w:cs="Arial"/>
                <w:color w:val="000000"/>
                <w:sz w:val="20"/>
                <w:szCs w:val="20"/>
                <w:lang w:eastAsia="en-GB"/>
              </w:rPr>
              <w:t>Monetary (000 000)</w:t>
            </w:r>
          </w:p>
        </w:tc>
        <w:tc>
          <w:tcPr>
            <w:tcW w:w="2410" w:type="dxa"/>
          </w:tcPr>
          <w:p w14:paraId="6B11D740" w14:textId="6CEC8183"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1A41AEA3" w14:textId="77777777" w:rsidTr="00AA0E8D">
        <w:tc>
          <w:tcPr>
            <w:tcW w:w="8359" w:type="dxa"/>
          </w:tcPr>
          <w:p w14:paraId="6F4C6269" w14:textId="5736FC7C"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of trades (EOB)</w:t>
            </w:r>
          </w:p>
        </w:tc>
        <w:tc>
          <w:tcPr>
            <w:tcW w:w="3118" w:type="dxa"/>
          </w:tcPr>
          <w:p w14:paraId="2B472B84" w14:textId="47F53F7C" w:rsidR="0044792F" w:rsidRPr="002171E5" w:rsidRDefault="0044792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tcPr>
          <w:p w14:paraId="60683EE5" w14:textId="483162D8"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0BD1EA45" w14:textId="77777777" w:rsidTr="00AA0E8D">
        <w:tc>
          <w:tcPr>
            <w:tcW w:w="8359" w:type="dxa"/>
          </w:tcPr>
          <w:p w14:paraId="64D555B7" w14:textId="73810AFE"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of trades (Negotiated Deals)</w:t>
            </w:r>
          </w:p>
        </w:tc>
        <w:tc>
          <w:tcPr>
            <w:tcW w:w="3118" w:type="dxa"/>
          </w:tcPr>
          <w:p w14:paraId="09A1081A" w14:textId="24C2874E" w:rsidR="0044792F" w:rsidRPr="002171E5" w:rsidRDefault="0044792F" w:rsidP="00DA7135">
            <w:pPr>
              <w:spacing w:line="247" w:lineRule="auto"/>
              <w:rPr>
                <w:rFonts w:ascii="Arial" w:eastAsia="Times New Roman" w:hAnsi="Arial" w:cs="Arial"/>
                <w:color w:val="000000"/>
                <w:sz w:val="20"/>
                <w:szCs w:val="20"/>
                <w:lang w:eastAsia="en-GB"/>
              </w:rPr>
            </w:pPr>
            <w:r w:rsidRPr="002F0BD1">
              <w:rPr>
                <w:rFonts w:ascii="Arial" w:eastAsia="Times New Roman" w:hAnsi="Arial" w:cs="Arial"/>
                <w:color w:val="000000"/>
                <w:sz w:val="20"/>
                <w:szCs w:val="20"/>
                <w:lang w:eastAsia="en-GB"/>
              </w:rPr>
              <w:t>Decimal (000)</w:t>
            </w:r>
          </w:p>
        </w:tc>
        <w:tc>
          <w:tcPr>
            <w:tcW w:w="2410" w:type="dxa"/>
          </w:tcPr>
          <w:p w14:paraId="674637A7" w14:textId="29A9D3CF"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12A3CD16" w14:textId="77777777" w:rsidTr="00AA0E8D">
        <w:tc>
          <w:tcPr>
            <w:tcW w:w="8359" w:type="dxa"/>
          </w:tcPr>
          <w:p w14:paraId="0F15226D" w14:textId="388FAC55"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of trades (Total)</w:t>
            </w:r>
          </w:p>
        </w:tc>
        <w:tc>
          <w:tcPr>
            <w:tcW w:w="3118" w:type="dxa"/>
          </w:tcPr>
          <w:p w14:paraId="02371D56" w14:textId="55CD8A3C" w:rsidR="0044792F" w:rsidRPr="002171E5" w:rsidRDefault="0044792F" w:rsidP="00DA7135">
            <w:pPr>
              <w:spacing w:line="247" w:lineRule="auto"/>
              <w:rPr>
                <w:rFonts w:ascii="Arial" w:eastAsia="Times New Roman" w:hAnsi="Arial" w:cs="Arial"/>
                <w:color w:val="000000"/>
                <w:sz w:val="20"/>
                <w:szCs w:val="20"/>
                <w:lang w:eastAsia="en-GB"/>
              </w:rPr>
            </w:pPr>
            <w:r w:rsidRPr="002F0BD1">
              <w:rPr>
                <w:rFonts w:ascii="Arial" w:eastAsia="Times New Roman" w:hAnsi="Arial" w:cs="Arial"/>
                <w:color w:val="000000"/>
                <w:sz w:val="20"/>
                <w:szCs w:val="20"/>
                <w:lang w:eastAsia="en-GB"/>
              </w:rPr>
              <w:t>Decimal (000)</w:t>
            </w:r>
          </w:p>
        </w:tc>
        <w:tc>
          <w:tcPr>
            <w:tcW w:w="2410" w:type="dxa"/>
          </w:tcPr>
          <w:p w14:paraId="38D65C68" w14:textId="732F6FC8"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555184" w:rsidRPr="002171E5" w14:paraId="0E6E39D8" w14:textId="77777777" w:rsidTr="00AA0E8D">
        <w:tc>
          <w:tcPr>
            <w:tcW w:w="8359" w:type="dxa"/>
          </w:tcPr>
          <w:p w14:paraId="62053830" w14:textId="6E167982" w:rsidR="00555184" w:rsidRPr="002171E5" w:rsidRDefault="00555184" w:rsidP="00DA7135">
            <w:pPr>
              <w:spacing w:line="247" w:lineRule="auto"/>
              <w:rPr>
                <w:rFonts w:ascii="Arial" w:hAnsi="Arial" w:cs="Arial"/>
                <w:sz w:val="20"/>
                <w:szCs w:val="20"/>
              </w:rPr>
            </w:pPr>
            <w:r>
              <w:rPr>
                <w:rFonts w:ascii="Arial" w:hAnsi="Arial" w:cs="Arial"/>
                <w:sz w:val="20"/>
                <w:szCs w:val="20"/>
              </w:rPr>
              <w:t>ETP Market Capitalisation</w:t>
            </w:r>
          </w:p>
        </w:tc>
        <w:tc>
          <w:tcPr>
            <w:tcW w:w="3118" w:type="dxa"/>
          </w:tcPr>
          <w:p w14:paraId="7D49745B" w14:textId="07234695" w:rsidR="00555184" w:rsidRPr="002F0BD1" w:rsidRDefault="0055518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w:t>
            </w:r>
          </w:p>
        </w:tc>
        <w:tc>
          <w:tcPr>
            <w:tcW w:w="2410" w:type="dxa"/>
          </w:tcPr>
          <w:p w14:paraId="0601CEFB" w14:textId="3452EC61" w:rsidR="00555184" w:rsidRPr="00E74EA3" w:rsidRDefault="0055518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44792F" w:rsidRPr="002171E5" w14:paraId="54F78B4D" w14:textId="77777777" w:rsidTr="0001525E">
        <w:tc>
          <w:tcPr>
            <w:tcW w:w="13887" w:type="dxa"/>
            <w:gridSpan w:val="3"/>
            <w:shd w:val="clear" w:color="auto" w:fill="8EAADB" w:themeFill="accent1" w:themeFillTint="99"/>
          </w:tcPr>
          <w:p w14:paraId="1622ED55" w14:textId="202429A3" w:rsidR="0044792F" w:rsidRPr="002171E5" w:rsidRDefault="0044792F" w:rsidP="00DA7135">
            <w:pPr>
              <w:spacing w:line="247" w:lineRule="auto"/>
              <w:rPr>
                <w:rFonts w:ascii="Arial" w:hAnsi="Arial" w:cs="Arial"/>
                <w:b/>
                <w:sz w:val="20"/>
                <w:szCs w:val="20"/>
              </w:rPr>
            </w:pPr>
            <w:r w:rsidRPr="002171E5">
              <w:rPr>
                <w:rFonts w:ascii="Arial" w:hAnsi="Arial" w:cs="Arial"/>
                <w:b/>
                <w:sz w:val="20"/>
                <w:szCs w:val="20"/>
              </w:rPr>
              <w:t>Product</w:t>
            </w:r>
          </w:p>
        </w:tc>
      </w:tr>
      <w:tr w:rsidR="0044792F" w:rsidRPr="00BB3031" w14:paraId="321327A7" w14:textId="77777777" w:rsidTr="00BB3031">
        <w:trPr>
          <w:trHeight w:val="473"/>
        </w:trPr>
        <w:tc>
          <w:tcPr>
            <w:tcW w:w="13887" w:type="dxa"/>
            <w:gridSpan w:val="3"/>
            <w:shd w:val="clear" w:color="auto" w:fill="auto"/>
            <w:vAlign w:val="center"/>
          </w:tcPr>
          <w:p w14:paraId="41A3557B" w14:textId="62BB4024" w:rsidR="0044792F" w:rsidRPr="00EB0C9F" w:rsidRDefault="00C6686E" w:rsidP="00BB3031">
            <w:pPr>
              <w:spacing w:line="247" w:lineRule="auto"/>
              <w:rPr>
                <w:rFonts w:ascii="Arial" w:hAnsi="Arial" w:cs="Arial"/>
                <w:b/>
                <w:bCs/>
                <w:smallCaps/>
                <w:sz w:val="20"/>
                <w:szCs w:val="20"/>
                <w:u w:val="single"/>
              </w:rPr>
            </w:pPr>
            <w:r w:rsidRPr="00EB0C9F">
              <w:rPr>
                <w:rFonts w:ascii="Arial" w:hAnsi="Arial" w:cs="Arial"/>
                <w:b/>
                <w:bCs/>
                <w:i/>
                <w:iCs/>
                <w:color w:val="1F3864" w:themeColor="accent1" w:themeShade="80"/>
                <w:sz w:val="20"/>
                <w:szCs w:val="20"/>
                <w:u w:val="single"/>
              </w:rPr>
              <w:fldChar w:fldCharType="begin"/>
            </w:r>
            <w:r w:rsidRPr="00EB0C9F">
              <w:rPr>
                <w:rFonts w:ascii="Arial" w:hAnsi="Arial" w:cs="Arial"/>
                <w:b/>
                <w:bCs/>
                <w:i/>
                <w:iCs/>
                <w:color w:val="1F3864" w:themeColor="accent1" w:themeShade="80"/>
                <w:sz w:val="20"/>
                <w:szCs w:val="20"/>
                <w:u w:val="single"/>
              </w:rPr>
              <w:instrText xml:space="preserve"> REF _Ref14259647 \h  \* MERGEFORMAT </w:instrText>
            </w:r>
            <w:r w:rsidRPr="00EB0C9F">
              <w:rPr>
                <w:rFonts w:ascii="Arial" w:hAnsi="Arial" w:cs="Arial"/>
                <w:b/>
                <w:bCs/>
                <w:i/>
                <w:iCs/>
                <w:color w:val="1F3864" w:themeColor="accent1" w:themeShade="80"/>
                <w:sz w:val="20"/>
                <w:szCs w:val="20"/>
                <w:u w:val="single"/>
              </w:rPr>
            </w:r>
            <w:r w:rsidRPr="00EB0C9F">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w:t>
            </w:r>
            <w:r w:rsidR="0094528E" w:rsidRPr="00501F5C">
              <w:rPr>
                <w:rFonts w:ascii="Arial" w:hAnsi="Arial" w:cs="Arial"/>
                <w:b/>
                <w:bCs/>
                <w:i/>
                <w:iCs/>
              </w:rPr>
              <w:t xml:space="preserve"> Investment Funds</w:t>
            </w:r>
            <w:r w:rsidRPr="00EB0C9F">
              <w:rPr>
                <w:rFonts w:ascii="Arial" w:hAnsi="Arial" w:cs="Arial"/>
                <w:b/>
                <w:bCs/>
                <w:i/>
                <w:iCs/>
                <w:color w:val="1F3864" w:themeColor="accent1" w:themeShade="80"/>
                <w:sz w:val="20"/>
                <w:szCs w:val="20"/>
                <w:u w:val="single"/>
              </w:rPr>
              <w:fldChar w:fldCharType="end"/>
            </w:r>
          </w:p>
        </w:tc>
      </w:tr>
      <w:tr w:rsidR="00AA0E8D" w:rsidRPr="002171E5" w14:paraId="77FBE625" w14:textId="77777777" w:rsidTr="00AA0E8D">
        <w:tc>
          <w:tcPr>
            <w:tcW w:w="8359" w:type="dxa"/>
            <w:shd w:val="clear" w:color="auto" w:fill="D9E2F3" w:themeFill="accent1" w:themeFillTint="33"/>
          </w:tcPr>
          <w:p w14:paraId="23E4EE96" w14:textId="77777777"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t>Indicators</w:t>
            </w:r>
          </w:p>
        </w:tc>
        <w:tc>
          <w:tcPr>
            <w:tcW w:w="3118" w:type="dxa"/>
            <w:shd w:val="clear" w:color="auto" w:fill="D9E2F3" w:themeFill="accent1" w:themeFillTint="33"/>
          </w:tcPr>
          <w:p w14:paraId="42350372" w14:textId="45259C8C" w:rsidR="00AA0E8D" w:rsidRPr="002171E5" w:rsidRDefault="0044792F"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20A1BDD2" w14:textId="764FBDF0" w:rsidR="00AA0E8D" w:rsidRPr="002171E5" w:rsidRDefault="0044792F" w:rsidP="00DA7135">
            <w:pPr>
              <w:spacing w:line="247" w:lineRule="auto"/>
              <w:rPr>
                <w:rFonts w:ascii="Arial" w:hAnsi="Arial" w:cs="Arial"/>
                <w:b/>
                <w:sz w:val="20"/>
                <w:szCs w:val="20"/>
              </w:rPr>
            </w:pPr>
            <w:r>
              <w:rPr>
                <w:rFonts w:ascii="Arial" w:hAnsi="Arial" w:cs="Arial"/>
                <w:b/>
                <w:sz w:val="20"/>
                <w:szCs w:val="20"/>
              </w:rPr>
              <w:t>Frequency</w:t>
            </w:r>
          </w:p>
        </w:tc>
      </w:tr>
      <w:tr w:rsidR="006C359F" w:rsidRPr="002171E5" w14:paraId="770BF235" w14:textId="77777777" w:rsidTr="00AA0E8D">
        <w:tc>
          <w:tcPr>
            <w:tcW w:w="8359" w:type="dxa"/>
            <w:shd w:val="clear" w:color="auto" w:fill="auto"/>
          </w:tcPr>
          <w:p w14:paraId="15B916E0" w14:textId="089A0CFC"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listed funds</w:t>
            </w:r>
          </w:p>
        </w:tc>
        <w:tc>
          <w:tcPr>
            <w:tcW w:w="3118" w:type="dxa"/>
          </w:tcPr>
          <w:p w14:paraId="4FFA4411" w14:textId="6A324989" w:rsidR="006C359F" w:rsidRPr="002171E5" w:rsidRDefault="006C359F" w:rsidP="00DA7135">
            <w:pPr>
              <w:spacing w:line="247" w:lineRule="auto"/>
              <w:rPr>
                <w:rFonts w:ascii="Arial" w:hAnsi="Arial" w:cs="Arial"/>
                <w:b/>
                <w:sz w:val="20"/>
                <w:szCs w:val="20"/>
              </w:rPr>
            </w:pPr>
            <w:r>
              <w:rPr>
                <w:rFonts w:ascii="Arial" w:hAnsi="Arial" w:cs="Arial"/>
                <w:b/>
                <w:sz w:val="20"/>
                <w:szCs w:val="20"/>
              </w:rPr>
              <w:t>Full number</w:t>
            </w:r>
          </w:p>
        </w:tc>
        <w:tc>
          <w:tcPr>
            <w:tcW w:w="2410" w:type="dxa"/>
            <w:shd w:val="clear" w:color="auto" w:fill="auto"/>
          </w:tcPr>
          <w:p w14:paraId="78AF458C" w14:textId="742CD973"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2EBD959D" w14:textId="77777777" w:rsidTr="00AA0E8D">
        <w:tc>
          <w:tcPr>
            <w:tcW w:w="8359" w:type="dxa"/>
            <w:shd w:val="clear" w:color="auto" w:fill="auto"/>
          </w:tcPr>
          <w:p w14:paraId="2057E041" w14:textId="18F0E096"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Value traded (EOB)</w:t>
            </w:r>
          </w:p>
        </w:tc>
        <w:tc>
          <w:tcPr>
            <w:tcW w:w="3118" w:type="dxa"/>
          </w:tcPr>
          <w:p w14:paraId="5B20705A" w14:textId="671B75DF" w:rsidR="006C359F" w:rsidRPr="002171E5" w:rsidRDefault="006C359F"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6642E0F9" w14:textId="779EF87A"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52939DB4" w14:textId="77777777" w:rsidTr="00AA0E8D">
        <w:tc>
          <w:tcPr>
            <w:tcW w:w="8359" w:type="dxa"/>
            <w:shd w:val="clear" w:color="auto" w:fill="auto"/>
          </w:tcPr>
          <w:p w14:paraId="3A2163C1" w14:textId="6BE4A771"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Value traded (Negotiated Deals)</w:t>
            </w:r>
          </w:p>
        </w:tc>
        <w:tc>
          <w:tcPr>
            <w:tcW w:w="3118" w:type="dxa"/>
          </w:tcPr>
          <w:p w14:paraId="39385DDD" w14:textId="2385E420" w:rsidR="006C359F" w:rsidRPr="002171E5" w:rsidRDefault="006C359F"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2DFCB40A" w14:textId="28AF4926"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3F6CA0FE" w14:textId="77777777" w:rsidTr="00AA0E8D">
        <w:tc>
          <w:tcPr>
            <w:tcW w:w="8359" w:type="dxa"/>
            <w:shd w:val="clear" w:color="auto" w:fill="auto"/>
          </w:tcPr>
          <w:p w14:paraId="0415D378" w14:textId="3DF888CC"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Value traded (Total)</w:t>
            </w:r>
          </w:p>
        </w:tc>
        <w:tc>
          <w:tcPr>
            <w:tcW w:w="3118" w:type="dxa"/>
          </w:tcPr>
          <w:p w14:paraId="2F2B87AE" w14:textId="628D599E" w:rsidR="006C359F" w:rsidRPr="002171E5" w:rsidRDefault="006C359F"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545E443C" w14:textId="6795EEC6"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47B19792" w14:textId="77777777" w:rsidTr="00AA0E8D">
        <w:tc>
          <w:tcPr>
            <w:tcW w:w="8359" w:type="dxa"/>
            <w:shd w:val="clear" w:color="auto" w:fill="auto"/>
          </w:tcPr>
          <w:p w14:paraId="4568F907" w14:textId="02A4BF92"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trades (EOB)</w:t>
            </w:r>
          </w:p>
        </w:tc>
        <w:tc>
          <w:tcPr>
            <w:tcW w:w="3118" w:type="dxa"/>
          </w:tcPr>
          <w:p w14:paraId="627AC8B8" w14:textId="380758DC" w:rsidR="006C359F" w:rsidRPr="002171E5" w:rsidRDefault="006C359F" w:rsidP="00DA7135">
            <w:pPr>
              <w:spacing w:line="247" w:lineRule="auto"/>
              <w:rPr>
                <w:rFonts w:ascii="Arial" w:hAnsi="Arial" w:cs="Arial"/>
                <w:b/>
                <w:sz w:val="20"/>
                <w:szCs w:val="20"/>
              </w:rPr>
            </w:pPr>
            <w:r>
              <w:rPr>
                <w:rFonts w:ascii="Arial" w:eastAsia="Times New Roman" w:hAnsi="Arial" w:cs="Arial"/>
                <w:color w:val="000000"/>
                <w:sz w:val="20"/>
                <w:szCs w:val="20"/>
                <w:lang w:eastAsia="en-GB"/>
              </w:rPr>
              <w:t>Decimal (000)</w:t>
            </w:r>
          </w:p>
        </w:tc>
        <w:tc>
          <w:tcPr>
            <w:tcW w:w="2410" w:type="dxa"/>
            <w:shd w:val="clear" w:color="auto" w:fill="auto"/>
          </w:tcPr>
          <w:p w14:paraId="672669B1" w14:textId="7DF61611"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04AA0731" w14:textId="77777777" w:rsidTr="00AA0E8D">
        <w:tc>
          <w:tcPr>
            <w:tcW w:w="8359" w:type="dxa"/>
            <w:shd w:val="clear" w:color="auto" w:fill="auto"/>
          </w:tcPr>
          <w:p w14:paraId="0310A7F1" w14:textId="05560621"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trades (Negotiated Deals)</w:t>
            </w:r>
          </w:p>
        </w:tc>
        <w:tc>
          <w:tcPr>
            <w:tcW w:w="3118" w:type="dxa"/>
          </w:tcPr>
          <w:p w14:paraId="4EF59700" w14:textId="0CE8BB3A" w:rsidR="006C359F" w:rsidRPr="002171E5" w:rsidRDefault="006C359F"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31076B3E" w14:textId="64B978D8"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486BEB31" w14:textId="77777777" w:rsidTr="00AA0E8D">
        <w:tc>
          <w:tcPr>
            <w:tcW w:w="8359" w:type="dxa"/>
            <w:shd w:val="clear" w:color="auto" w:fill="auto"/>
          </w:tcPr>
          <w:p w14:paraId="09E288DE" w14:textId="5035DB68"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trades (Total)</w:t>
            </w:r>
          </w:p>
        </w:tc>
        <w:tc>
          <w:tcPr>
            <w:tcW w:w="3118" w:type="dxa"/>
          </w:tcPr>
          <w:p w14:paraId="72B61826" w14:textId="5763689A" w:rsidR="006C359F" w:rsidRPr="002171E5" w:rsidRDefault="006C359F"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52A96A9D" w14:textId="3A5DDB3F"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47C89599" w14:textId="77777777" w:rsidTr="0001525E">
        <w:tc>
          <w:tcPr>
            <w:tcW w:w="13887" w:type="dxa"/>
            <w:gridSpan w:val="3"/>
            <w:shd w:val="clear" w:color="auto" w:fill="8EAADB" w:themeFill="accent1" w:themeFillTint="99"/>
          </w:tcPr>
          <w:p w14:paraId="68776773" w14:textId="3E300144" w:rsidR="006C359F" w:rsidRPr="002171E5" w:rsidRDefault="006C359F" w:rsidP="00DA7135">
            <w:pPr>
              <w:spacing w:line="247" w:lineRule="auto"/>
              <w:rPr>
                <w:rFonts w:ascii="Arial" w:hAnsi="Arial" w:cs="Arial"/>
                <w:b/>
                <w:sz w:val="20"/>
                <w:szCs w:val="20"/>
              </w:rPr>
            </w:pPr>
            <w:r w:rsidRPr="002171E5">
              <w:rPr>
                <w:rFonts w:ascii="Arial" w:hAnsi="Arial" w:cs="Arial"/>
                <w:b/>
                <w:sz w:val="20"/>
                <w:szCs w:val="20"/>
              </w:rPr>
              <w:t>Product</w:t>
            </w:r>
          </w:p>
        </w:tc>
      </w:tr>
      <w:tr w:rsidR="006C359F" w:rsidRPr="00BB3031" w14:paraId="6744E789" w14:textId="77777777" w:rsidTr="00BB3031">
        <w:trPr>
          <w:trHeight w:val="455"/>
        </w:trPr>
        <w:tc>
          <w:tcPr>
            <w:tcW w:w="13887" w:type="dxa"/>
            <w:gridSpan w:val="3"/>
            <w:shd w:val="clear" w:color="auto" w:fill="auto"/>
            <w:vAlign w:val="center"/>
          </w:tcPr>
          <w:p w14:paraId="621C0050" w14:textId="25DA8897" w:rsidR="006C359F" w:rsidRPr="00EB0C9F" w:rsidRDefault="00C6686E" w:rsidP="00BB3031">
            <w:pPr>
              <w:spacing w:line="247" w:lineRule="auto"/>
              <w:rPr>
                <w:rFonts w:ascii="Arial" w:hAnsi="Arial" w:cs="Arial"/>
                <w:b/>
                <w:bCs/>
                <w:smallCaps/>
                <w:sz w:val="20"/>
                <w:szCs w:val="20"/>
                <w:u w:val="single"/>
              </w:rPr>
            </w:pPr>
            <w:r w:rsidRPr="00EB0C9F">
              <w:rPr>
                <w:rFonts w:ascii="Arial" w:hAnsi="Arial" w:cs="Arial"/>
                <w:b/>
                <w:bCs/>
                <w:i/>
                <w:iCs/>
                <w:color w:val="1F3864" w:themeColor="accent1" w:themeShade="80"/>
                <w:sz w:val="20"/>
                <w:szCs w:val="20"/>
                <w:u w:val="single"/>
              </w:rPr>
              <w:fldChar w:fldCharType="begin"/>
            </w:r>
            <w:r w:rsidRPr="00EB0C9F">
              <w:rPr>
                <w:rFonts w:ascii="Arial" w:hAnsi="Arial" w:cs="Arial"/>
                <w:b/>
                <w:bCs/>
                <w:i/>
                <w:iCs/>
                <w:color w:val="1F3864" w:themeColor="accent1" w:themeShade="80"/>
                <w:sz w:val="20"/>
                <w:szCs w:val="20"/>
                <w:u w:val="single"/>
              </w:rPr>
              <w:instrText xml:space="preserve"> REF _Ref14259657 \h  \* MERGEFORMAT </w:instrText>
            </w:r>
            <w:r w:rsidRPr="00EB0C9F">
              <w:rPr>
                <w:rFonts w:ascii="Arial" w:hAnsi="Arial" w:cs="Arial"/>
                <w:b/>
                <w:bCs/>
                <w:i/>
                <w:iCs/>
                <w:color w:val="1F3864" w:themeColor="accent1" w:themeShade="80"/>
                <w:sz w:val="20"/>
                <w:szCs w:val="20"/>
                <w:u w:val="single"/>
              </w:rPr>
            </w:r>
            <w:r w:rsidRPr="00EB0C9F">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w:t>
            </w:r>
            <w:r w:rsidR="0094528E" w:rsidRPr="00501F5C">
              <w:rPr>
                <w:rFonts w:ascii="Arial" w:hAnsi="Arial" w:cs="Arial"/>
                <w:b/>
                <w:bCs/>
                <w:i/>
                <w:iCs/>
              </w:rPr>
              <w:t xml:space="preserve"> Securitised derivatives</w:t>
            </w:r>
            <w:r w:rsidRPr="00EB0C9F">
              <w:rPr>
                <w:rFonts w:ascii="Arial" w:hAnsi="Arial" w:cs="Arial"/>
                <w:b/>
                <w:bCs/>
                <w:i/>
                <w:iCs/>
                <w:color w:val="1F3864" w:themeColor="accent1" w:themeShade="80"/>
                <w:sz w:val="20"/>
                <w:szCs w:val="20"/>
                <w:u w:val="single"/>
              </w:rPr>
              <w:fldChar w:fldCharType="end"/>
            </w:r>
          </w:p>
        </w:tc>
      </w:tr>
      <w:tr w:rsidR="00AA0E8D" w:rsidRPr="002171E5" w14:paraId="72FC7320" w14:textId="77777777" w:rsidTr="00AA0E8D">
        <w:tc>
          <w:tcPr>
            <w:tcW w:w="8359" w:type="dxa"/>
            <w:shd w:val="clear" w:color="auto" w:fill="D9E2F3" w:themeFill="accent1" w:themeFillTint="33"/>
          </w:tcPr>
          <w:p w14:paraId="597350E1" w14:textId="77777777"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lastRenderedPageBreak/>
              <w:t>Indicators</w:t>
            </w:r>
          </w:p>
        </w:tc>
        <w:tc>
          <w:tcPr>
            <w:tcW w:w="3118" w:type="dxa"/>
            <w:shd w:val="clear" w:color="auto" w:fill="D9E2F3" w:themeFill="accent1" w:themeFillTint="33"/>
          </w:tcPr>
          <w:p w14:paraId="59536F52" w14:textId="0BC30D34" w:rsidR="00AA0E8D" w:rsidRPr="002171E5" w:rsidRDefault="006C359F"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37F2A6F9" w14:textId="2FF4A230" w:rsidR="00AA0E8D" w:rsidRPr="002171E5" w:rsidRDefault="006C359F" w:rsidP="00DA7135">
            <w:pPr>
              <w:spacing w:line="247" w:lineRule="auto"/>
              <w:rPr>
                <w:rFonts w:ascii="Arial" w:hAnsi="Arial" w:cs="Arial"/>
                <w:b/>
                <w:sz w:val="20"/>
                <w:szCs w:val="20"/>
              </w:rPr>
            </w:pPr>
            <w:r>
              <w:rPr>
                <w:rFonts w:ascii="Arial" w:hAnsi="Arial" w:cs="Arial"/>
                <w:b/>
                <w:sz w:val="20"/>
                <w:szCs w:val="20"/>
              </w:rPr>
              <w:t>Frequency</w:t>
            </w:r>
          </w:p>
        </w:tc>
      </w:tr>
      <w:tr w:rsidR="00E46DCD" w:rsidRPr="002171E5" w14:paraId="262C36F7" w14:textId="77777777" w:rsidTr="00AA0E8D">
        <w:tc>
          <w:tcPr>
            <w:tcW w:w="8359" w:type="dxa"/>
            <w:shd w:val="clear" w:color="auto" w:fill="auto"/>
            <w:vAlign w:val="bottom"/>
          </w:tcPr>
          <w:p w14:paraId="59D97634" w14:textId="1976592C"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listed</w:t>
            </w:r>
          </w:p>
        </w:tc>
        <w:tc>
          <w:tcPr>
            <w:tcW w:w="3118" w:type="dxa"/>
          </w:tcPr>
          <w:p w14:paraId="6CADC5B3" w14:textId="352961D0" w:rsidR="00E46DCD" w:rsidRPr="006C359F" w:rsidRDefault="00E46DCD" w:rsidP="00DA7135">
            <w:pPr>
              <w:spacing w:line="247" w:lineRule="auto"/>
              <w:rPr>
                <w:rFonts w:ascii="Arial" w:hAnsi="Arial" w:cs="Arial"/>
                <w:sz w:val="20"/>
                <w:szCs w:val="20"/>
              </w:rPr>
            </w:pPr>
            <w:r w:rsidRPr="006C359F">
              <w:rPr>
                <w:rFonts w:ascii="Arial" w:hAnsi="Arial" w:cs="Arial"/>
                <w:sz w:val="20"/>
                <w:szCs w:val="20"/>
              </w:rPr>
              <w:t>Full number</w:t>
            </w:r>
          </w:p>
        </w:tc>
        <w:tc>
          <w:tcPr>
            <w:tcW w:w="2410" w:type="dxa"/>
            <w:shd w:val="clear" w:color="auto" w:fill="auto"/>
          </w:tcPr>
          <w:p w14:paraId="0698922B" w14:textId="6C59B0C2"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71BD9460" w14:textId="77777777" w:rsidTr="00AA0E8D">
        <w:tc>
          <w:tcPr>
            <w:tcW w:w="8359" w:type="dxa"/>
            <w:shd w:val="clear" w:color="auto" w:fill="auto"/>
            <w:vAlign w:val="bottom"/>
          </w:tcPr>
          <w:p w14:paraId="0945762E" w14:textId="6C479AFD"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Value traded (EOB)</w:t>
            </w:r>
          </w:p>
        </w:tc>
        <w:tc>
          <w:tcPr>
            <w:tcW w:w="3118" w:type="dxa"/>
          </w:tcPr>
          <w:p w14:paraId="6DF418B9" w14:textId="3DFA7E65" w:rsidR="00E46DCD" w:rsidRPr="002171E5" w:rsidRDefault="00E46DCD"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48D36B06" w14:textId="47DEE29C"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2BE7C1E8" w14:textId="77777777" w:rsidTr="00AA0E8D">
        <w:tc>
          <w:tcPr>
            <w:tcW w:w="8359" w:type="dxa"/>
            <w:shd w:val="clear" w:color="auto" w:fill="auto"/>
            <w:vAlign w:val="bottom"/>
          </w:tcPr>
          <w:p w14:paraId="10F226DB" w14:textId="1211C9FC"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Value traded (Negotiated Deals)</w:t>
            </w:r>
          </w:p>
        </w:tc>
        <w:tc>
          <w:tcPr>
            <w:tcW w:w="3118" w:type="dxa"/>
          </w:tcPr>
          <w:p w14:paraId="1BE25957" w14:textId="4DCFBDF6" w:rsidR="00E46DCD" w:rsidRPr="002171E5" w:rsidRDefault="00E46DCD"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34C95C54" w14:textId="4CA8564F"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2CA209CD" w14:textId="77777777" w:rsidTr="00AA0E8D">
        <w:tc>
          <w:tcPr>
            <w:tcW w:w="8359" w:type="dxa"/>
            <w:shd w:val="clear" w:color="auto" w:fill="auto"/>
            <w:vAlign w:val="bottom"/>
          </w:tcPr>
          <w:p w14:paraId="7506AE61" w14:textId="4F7E7594"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Value traded (Total)</w:t>
            </w:r>
          </w:p>
        </w:tc>
        <w:tc>
          <w:tcPr>
            <w:tcW w:w="3118" w:type="dxa"/>
          </w:tcPr>
          <w:p w14:paraId="3AAA7D38" w14:textId="35B754F8" w:rsidR="00E46DCD" w:rsidRPr="002171E5" w:rsidRDefault="00E46DCD"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1C5CBBEC" w14:textId="7103F428"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202B869C" w14:textId="77777777" w:rsidTr="00AA0E8D">
        <w:tc>
          <w:tcPr>
            <w:tcW w:w="8359" w:type="dxa"/>
            <w:shd w:val="clear" w:color="auto" w:fill="auto"/>
            <w:vAlign w:val="bottom"/>
          </w:tcPr>
          <w:p w14:paraId="5F5ED8BC" w14:textId="41718EF9"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of trades (EOB)</w:t>
            </w:r>
          </w:p>
        </w:tc>
        <w:tc>
          <w:tcPr>
            <w:tcW w:w="3118" w:type="dxa"/>
          </w:tcPr>
          <w:p w14:paraId="5EEFCD5C" w14:textId="55437653" w:rsidR="00E46DCD" w:rsidRPr="002171E5" w:rsidRDefault="00E46DCD" w:rsidP="00DA7135">
            <w:pPr>
              <w:spacing w:line="247" w:lineRule="auto"/>
              <w:rPr>
                <w:rFonts w:ascii="Arial" w:hAnsi="Arial" w:cs="Arial"/>
                <w:b/>
                <w:sz w:val="20"/>
                <w:szCs w:val="20"/>
              </w:rPr>
            </w:pPr>
            <w:r>
              <w:rPr>
                <w:rFonts w:ascii="Arial" w:eastAsia="Times New Roman" w:hAnsi="Arial" w:cs="Arial"/>
                <w:color w:val="000000"/>
                <w:sz w:val="20"/>
                <w:szCs w:val="20"/>
                <w:lang w:eastAsia="en-GB"/>
              </w:rPr>
              <w:t>Decimal (000)</w:t>
            </w:r>
          </w:p>
        </w:tc>
        <w:tc>
          <w:tcPr>
            <w:tcW w:w="2410" w:type="dxa"/>
            <w:shd w:val="clear" w:color="auto" w:fill="auto"/>
          </w:tcPr>
          <w:p w14:paraId="54AD8747" w14:textId="3FBA8C1B"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563F014A" w14:textId="77777777" w:rsidTr="00AA0E8D">
        <w:tc>
          <w:tcPr>
            <w:tcW w:w="8359" w:type="dxa"/>
            <w:shd w:val="clear" w:color="auto" w:fill="auto"/>
            <w:vAlign w:val="bottom"/>
          </w:tcPr>
          <w:p w14:paraId="40D7E404" w14:textId="3C86C8FD"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of trades (Negotiated Deals)</w:t>
            </w:r>
          </w:p>
        </w:tc>
        <w:tc>
          <w:tcPr>
            <w:tcW w:w="3118" w:type="dxa"/>
          </w:tcPr>
          <w:p w14:paraId="2029422F" w14:textId="181F2BE4" w:rsidR="00E46DCD" w:rsidRPr="002171E5" w:rsidRDefault="00E46DCD"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35534306" w14:textId="729DBF19"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4810BBE5" w14:textId="77777777" w:rsidTr="00AA0E8D">
        <w:tc>
          <w:tcPr>
            <w:tcW w:w="8359" w:type="dxa"/>
            <w:shd w:val="clear" w:color="auto" w:fill="auto"/>
            <w:vAlign w:val="bottom"/>
          </w:tcPr>
          <w:p w14:paraId="4A2151FE" w14:textId="19D96648"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of trades (Total)</w:t>
            </w:r>
          </w:p>
        </w:tc>
        <w:tc>
          <w:tcPr>
            <w:tcW w:w="3118" w:type="dxa"/>
          </w:tcPr>
          <w:p w14:paraId="36AA5038" w14:textId="7EE38638" w:rsidR="00E46DCD" w:rsidRPr="002171E5" w:rsidRDefault="00E46DCD"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7B535C81" w14:textId="28B91360"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6A1E1A" w:rsidRPr="002171E5" w14:paraId="7D6660DD" w14:textId="77777777" w:rsidTr="005E192C">
        <w:tc>
          <w:tcPr>
            <w:tcW w:w="13887" w:type="dxa"/>
            <w:gridSpan w:val="3"/>
            <w:shd w:val="clear" w:color="auto" w:fill="9CC2E5" w:themeFill="accent5" w:themeFillTint="99"/>
          </w:tcPr>
          <w:p w14:paraId="79243732" w14:textId="5EEC96DE" w:rsidR="006A1E1A" w:rsidRPr="00C2077C" w:rsidRDefault="006A1E1A" w:rsidP="006A1E1A">
            <w:pPr>
              <w:spacing w:line="247" w:lineRule="auto"/>
              <w:rPr>
                <w:rFonts w:ascii="Arial" w:eastAsia="Times New Roman" w:hAnsi="Arial" w:cs="Arial"/>
                <w:color w:val="000000"/>
                <w:sz w:val="20"/>
                <w:szCs w:val="20"/>
                <w:lang w:eastAsia="en-GB"/>
              </w:rPr>
            </w:pPr>
            <w:r w:rsidRPr="002171E5">
              <w:rPr>
                <w:rFonts w:ascii="Arial" w:hAnsi="Arial" w:cs="Arial"/>
                <w:b/>
                <w:sz w:val="20"/>
                <w:szCs w:val="20"/>
              </w:rPr>
              <w:t>Product</w:t>
            </w:r>
          </w:p>
        </w:tc>
      </w:tr>
      <w:tr w:rsidR="006A1E1A" w:rsidRPr="002171E5" w14:paraId="3B4BAEFF" w14:textId="77777777" w:rsidTr="00B277E2">
        <w:tc>
          <w:tcPr>
            <w:tcW w:w="13887" w:type="dxa"/>
            <w:gridSpan w:val="3"/>
            <w:shd w:val="clear" w:color="auto" w:fill="auto"/>
            <w:vAlign w:val="center"/>
          </w:tcPr>
          <w:p w14:paraId="143E7643" w14:textId="2B5872C9" w:rsidR="006A1E1A" w:rsidRPr="00C2077C" w:rsidRDefault="006A1E1A" w:rsidP="006A1E1A">
            <w:pPr>
              <w:spacing w:line="247" w:lineRule="auto"/>
              <w:rPr>
                <w:rFonts w:ascii="Arial" w:eastAsia="Times New Roman" w:hAnsi="Arial" w:cs="Arial"/>
                <w:color w:val="000000"/>
                <w:sz w:val="20"/>
                <w:szCs w:val="20"/>
                <w:lang w:eastAsia="en-GB"/>
              </w:rPr>
            </w:pPr>
            <w:r w:rsidRPr="00EB0C9F">
              <w:rPr>
                <w:rFonts w:ascii="Arial" w:hAnsi="Arial" w:cs="Arial"/>
                <w:b/>
                <w:bCs/>
                <w:i/>
                <w:iCs/>
                <w:color w:val="1F3864" w:themeColor="accent1" w:themeShade="80"/>
                <w:sz w:val="20"/>
                <w:szCs w:val="20"/>
                <w:u w:val="single"/>
              </w:rPr>
              <w:fldChar w:fldCharType="begin"/>
            </w:r>
            <w:r w:rsidRPr="00EB0C9F">
              <w:rPr>
                <w:rFonts w:ascii="Arial" w:hAnsi="Arial" w:cs="Arial"/>
                <w:b/>
                <w:bCs/>
                <w:i/>
                <w:iCs/>
                <w:color w:val="1F3864" w:themeColor="accent1" w:themeShade="80"/>
                <w:sz w:val="20"/>
                <w:szCs w:val="20"/>
                <w:u w:val="single"/>
              </w:rPr>
              <w:instrText xml:space="preserve"> REF _Ref14259657 \h  \* MERGEFORMAT </w:instrText>
            </w:r>
            <w:r w:rsidRPr="00EB0C9F">
              <w:rPr>
                <w:rFonts w:ascii="Arial" w:hAnsi="Arial" w:cs="Arial"/>
                <w:b/>
                <w:bCs/>
                <w:i/>
                <w:iCs/>
                <w:color w:val="1F3864" w:themeColor="accent1" w:themeShade="80"/>
                <w:sz w:val="20"/>
                <w:szCs w:val="20"/>
                <w:u w:val="single"/>
              </w:rPr>
            </w:r>
            <w:r w:rsidRPr="00EB0C9F">
              <w:rPr>
                <w:rFonts w:ascii="Arial" w:hAnsi="Arial" w:cs="Arial"/>
                <w:b/>
                <w:bCs/>
                <w:i/>
                <w:iCs/>
                <w:color w:val="1F3864" w:themeColor="accent1" w:themeShade="80"/>
                <w:sz w:val="20"/>
                <w:szCs w:val="20"/>
                <w:u w:val="single"/>
              </w:rPr>
              <w:fldChar w:fldCharType="separate"/>
            </w:r>
            <w:r w:rsidRPr="0094528E">
              <w:rPr>
                <w:rFonts w:ascii="Arial" w:hAnsi="Arial" w:cs="Arial"/>
                <w:b/>
                <w:bCs/>
                <w:i/>
                <w:iCs/>
                <w:color w:val="1F3864" w:themeColor="accent1" w:themeShade="80"/>
                <w:sz w:val="20"/>
                <w:szCs w:val="20"/>
                <w:u w:val="single"/>
              </w:rPr>
              <w:t>Product –</w:t>
            </w:r>
            <w:r w:rsidRPr="00501F5C">
              <w:rPr>
                <w:rFonts w:ascii="Arial" w:hAnsi="Arial" w:cs="Arial"/>
                <w:b/>
                <w:bCs/>
                <w:i/>
                <w:iCs/>
              </w:rPr>
              <w:t xml:space="preserve"> </w:t>
            </w:r>
            <w:r w:rsidRPr="00EB0C9F">
              <w:rPr>
                <w:rFonts w:ascii="Arial" w:hAnsi="Arial" w:cs="Arial"/>
                <w:b/>
                <w:bCs/>
                <w:i/>
                <w:iCs/>
                <w:color w:val="1F3864" w:themeColor="accent1" w:themeShade="80"/>
                <w:sz w:val="20"/>
                <w:szCs w:val="20"/>
                <w:u w:val="single"/>
              </w:rPr>
              <w:fldChar w:fldCharType="end"/>
            </w:r>
            <w:r>
              <w:rPr>
                <w:rFonts w:ascii="Arial" w:hAnsi="Arial" w:cs="Arial"/>
                <w:b/>
                <w:bCs/>
                <w:i/>
                <w:iCs/>
                <w:color w:val="1F3864" w:themeColor="accent1" w:themeShade="80"/>
                <w:sz w:val="20"/>
                <w:szCs w:val="20"/>
                <w:u w:val="single"/>
              </w:rPr>
              <w:t>REITs</w:t>
            </w:r>
          </w:p>
        </w:tc>
      </w:tr>
      <w:tr w:rsidR="006A1E1A" w:rsidRPr="002171E5" w14:paraId="0FFD92B1" w14:textId="77777777" w:rsidTr="006A1E1A">
        <w:tc>
          <w:tcPr>
            <w:tcW w:w="8359" w:type="dxa"/>
            <w:shd w:val="clear" w:color="auto" w:fill="D9E2F3" w:themeFill="accent1" w:themeFillTint="33"/>
          </w:tcPr>
          <w:p w14:paraId="2A20D794" w14:textId="0130B431" w:rsidR="006A1E1A" w:rsidRPr="006A1E1A" w:rsidRDefault="006A1E1A" w:rsidP="006A1E1A">
            <w:pPr>
              <w:spacing w:line="247" w:lineRule="auto"/>
              <w:rPr>
                <w:rFonts w:ascii="Arial" w:hAnsi="Arial" w:cs="Arial"/>
                <w:b/>
                <w:sz w:val="20"/>
                <w:szCs w:val="20"/>
              </w:rPr>
            </w:pPr>
            <w:r w:rsidRPr="002171E5">
              <w:rPr>
                <w:rFonts w:ascii="Arial" w:hAnsi="Arial" w:cs="Arial"/>
                <w:b/>
                <w:sz w:val="20"/>
                <w:szCs w:val="20"/>
              </w:rPr>
              <w:t>Indicators</w:t>
            </w:r>
          </w:p>
        </w:tc>
        <w:tc>
          <w:tcPr>
            <w:tcW w:w="3118" w:type="dxa"/>
            <w:shd w:val="clear" w:color="auto" w:fill="D9E2F3" w:themeFill="accent1" w:themeFillTint="33"/>
          </w:tcPr>
          <w:p w14:paraId="48FB1006" w14:textId="447D5C2B" w:rsidR="006A1E1A" w:rsidRPr="006A1E1A" w:rsidRDefault="006A1E1A" w:rsidP="006A1E1A">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62A2860D" w14:textId="1845C972" w:rsidR="006A1E1A" w:rsidRPr="006A1E1A" w:rsidRDefault="006A1E1A" w:rsidP="006A1E1A">
            <w:pPr>
              <w:spacing w:line="247" w:lineRule="auto"/>
              <w:rPr>
                <w:rFonts w:ascii="Arial" w:hAnsi="Arial" w:cs="Arial"/>
                <w:b/>
                <w:sz w:val="20"/>
                <w:szCs w:val="20"/>
              </w:rPr>
            </w:pPr>
            <w:r>
              <w:rPr>
                <w:rFonts w:ascii="Arial" w:hAnsi="Arial" w:cs="Arial"/>
                <w:b/>
                <w:sz w:val="20"/>
                <w:szCs w:val="20"/>
              </w:rPr>
              <w:t>Frequency</w:t>
            </w:r>
          </w:p>
        </w:tc>
      </w:tr>
      <w:tr w:rsidR="006A1E1A" w:rsidRPr="002171E5" w14:paraId="4E3D1D38" w14:textId="77777777" w:rsidTr="00ED24DA">
        <w:tc>
          <w:tcPr>
            <w:tcW w:w="8359" w:type="dxa"/>
            <w:shd w:val="clear" w:color="auto" w:fill="auto"/>
          </w:tcPr>
          <w:p w14:paraId="52D2D79D" w14:textId="72B019B9"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Market capitalisation</w:t>
            </w:r>
          </w:p>
        </w:tc>
        <w:tc>
          <w:tcPr>
            <w:tcW w:w="3118" w:type="dxa"/>
          </w:tcPr>
          <w:p w14:paraId="7DA68E27" w14:textId="7AC74879" w:rsidR="006A1E1A" w:rsidRPr="002F0BD1"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79A8727D" w14:textId="1ED85E6B" w:rsidR="006A1E1A" w:rsidRPr="00C2077C" w:rsidRDefault="006A1E1A" w:rsidP="006A1E1A">
            <w:pPr>
              <w:spacing w:line="247" w:lineRule="auto"/>
              <w:rPr>
                <w:rFonts w:ascii="Arial" w:eastAsia="Times New Roman" w:hAnsi="Arial" w:cs="Arial"/>
                <w:color w:val="000000"/>
                <w:sz w:val="20"/>
                <w:szCs w:val="20"/>
                <w:lang w:eastAsia="en-GB"/>
              </w:rPr>
            </w:pPr>
            <w:r w:rsidRPr="00C2077C">
              <w:rPr>
                <w:rFonts w:ascii="Arial" w:eastAsia="Times New Roman" w:hAnsi="Arial" w:cs="Arial"/>
                <w:color w:val="000000"/>
                <w:sz w:val="20"/>
                <w:szCs w:val="20"/>
                <w:lang w:eastAsia="en-GB"/>
              </w:rPr>
              <w:t>Monthly and Annual</w:t>
            </w:r>
          </w:p>
        </w:tc>
      </w:tr>
      <w:tr w:rsidR="006A1E1A" w:rsidRPr="002171E5" w14:paraId="0BA18652" w14:textId="77777777" w:rsidTr="00ED24DA">
        <w:tc>
          <w:tcPr>
            <w:tcW w:w="8359" w:type="dxa"/>
            <w:shd w:val="clear" w:color="auto" w:fill="auto"/>
          </w:tcPr>
          <w:p w14:paraId="7F37C185" w14:textId="68D7C305"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Number listed</w:t>
            </w:r>
          </w:p>
        </w:tc>
        <w:tc>
          <w:tcPr>
            <w:tcW w:w="3118" w:type="dxa"/>
          </w:tcPr>
          <w:p w14:paraId="1907FA4A" w14:textId="227661F9" w:rsidR="006A1E1A" w:rsidRPr="002F0BD1" w:rsidRDefault="006A1E1A" w:rsidP="006A1E1A">
            <w:pPr>
              <w:spacing w:line="247" w:lineRule="auto"/>
              <w:rPr>
                <w:rFonts w:ascii="Arial" w:eastAsia="Times New Roman" w:hAnsi="Arial" w:cs="Arial"/>
                <w:color w:val="000000"/>
                <w:sz w:val="20"/>
                <w:szCs w:val="20"/>
                <w:lang w:eastAsia="en-GB"/>
              </w:rPr>
            </w:pPr>
            <w:r w:rsidRPr="006C359F">
              <w:rPr>
                <w:rFonts w:ascii="Arial" w:hAnsi="Arial" w:cs="Arial"/>
                <w:sz w:val="20"/>
                <w:szCs w:val="20"/>
              </w:rPr>
              <w:t>Full number</w:t>
            </w:r>
          </w:p>
        </w:tc>
        <w:tc>
          <w:tcPr>
            <w:tcW w:w="2410" w:type="dxa"/>
            <w:shd w:val="clear" w:color="auto" w:fill="auto"/>
          </w:tcPr>
          <w:p w14:paraId="62199CCE" w14:textId="48AD3BF0"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215C654A" w14:textId="77777777" w:rsidTr="00ED24DA">
        <w:tc>
          <w:tcPr>
            <w:tcW w:w="8359" w:type="dxa"/>
            <w:shd w:val="clear" w:color="auto" w:fill="auto"/>
          </w:tcPr>
          <w:p w14:paraId="30647459" w14:textId="3861778D"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Value traded (EOB)</w:t>
            </w:r>
          </w:p>
        </w:tc>
        <w:tc>
          <w:tcPr>
            <w:tcW w:w="3118" w:type="dxa"/>
          </w:tcPr>
          <w:p w14:paraId="18D04530" w14:textId="5412A560" w:rsidR="006A1E1A" w:rsidRPr="002F0BD1"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08FB0786" w14:textId="38E14E57"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6A6B21E4" w14:textId="77777777" w:rsidTr="00ED24DA">
        <w:tc>
          <w:tcPr>
            <w:tcW w:w="8359" w:type="dxa"/>
            <w:shd w:val="clear" w:color="auto" w:fill="auto"/>
          </w:tcPr>
          <w:p w14:paraId="7BF2482C" w14:textId="0E3422CF"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Value traded (Negotiated Deals)</w:t>
            </w:r>
          </w:p>
        </w:tc>
        <w:tc>
          <w:tcPr>
            <w:tcW w:w="3118" w:type="dxa"/>
          </w:tcPr>
          <w:p w14:paraId="18C7B2DA" w14:textId="6A5F39ED" w:rsidR="006A1E1A" w:rsidRPr="002F0BD1"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40251A34" w14:textId="36872584"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51171A84" w14:textId="77777777" w:rsidTr="00ED24DA">
        <w:tc>
          <w:tcPr>
            <w:tcW w:w="8359" w:type="dxa"/>
            <w:shd w:val="clear" w:color="auto" w:fill="auto"/>
          </w:tcPr>
          <w:p w14:paraId="333E3D90" w14:textId="7FC2D93C" w:rsidR="006A1E1A" w:rsidRPr="006A1E1A" w:rsidRDefault="006A1E1A" w:rsidP="006A1E1A">
            <w:pPr>
              <w:spacing w:line="247" w:lineRule="auto"/>
              <w:rPr>
                <w:rFonts w:ascii="Arial" w:eastAsia="Times New Roman" w:hAnsi="Arial" w:cs="Arial"/>
                <w:snapToGrid w:val="0"/>
                <w:spacing w:val="-3"/>
                <w:szCs w:val="20"/>
                <w:lang w:eastAsia="fr-FR"/>
              </w:rPr>
            </w:pPr>
            <w:r w:rsidRPr="006A1E1A">
              <w:rPr>
                <w:rFonts w:ascii="Arial" w:eastAsia="Times New Roman" w:hAnsi="Arial" w:cs="Arial"/>
                <w:snapToGrid w:val="0"/>
                <w:spacing w:val="-3"/>
                <w:szCs w:val="20"/>
                <w:lang w:eastAsia="fr-FR"/>
              </w:rPr>
              <w:t>Indicator: Value traded (</w:t>
            </w:r>
            <w:r>
              <w:rPr>
                <w:rFonts w:ascii="Arial" w:eastAsia="Times New Roman" w:hAnsi="Arial" w:cs="Arial"/>
                <w:snapToGrid w:val="0"/>
                <w:spacing w:val="-3"/>
                <w:szCs w:val="20"/>
                <w:lang w:eastAsia="fr-FR"/>
              </w:rPr>
              <w:t>Total</w:t>
            </w:r>
            <w:r w:rsidRPr="006A1E1A">
              <w:rPr>
                <w:rFonts w:ascii="Arial" w:eastAsia="Times New Roman" w:hAnsi="Arial" w:cs="Arial"/>
                <w:snapToGrid w:val="0"/>
                <w:spacing w:val="-3"/>
                <w:szCs w:val="20"/>
                <w:lang w:eastAsia="fr-FR"/>
              </w:rPr>
              <w:t>)</w:t>
            </w:r>
          </w:p>
        </w:tc>
        <w:tc>
          <w:tcPr>
            <w:tcW w:w="3118" w:type="dxa"/>
          </w:tcPr>
          <w:p w14:paraId="75CC8085" w14:textId="5C42E33C" w:rsidR="006A1E1A" w:rsidRPr="00D22686"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416B6BE5" w14:textId="79B6FE7C"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631DE5F5" w14:textId="77777777" w:rsidTr="00ED24DA">
        <w:tc>
          <w:tcPr>
            <w:tcW w:w="8359" w:type="dxa"/>
            <w:shd w:val="clear" w:color="auto" w:fill="auto"/>
          </w:tcPr>
          <w:p w14:paraId="18EC2E7B" w14:textId="012816BA"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Number of trades (EOB)</w:t>
            </w:r>
          </w:p>
        </w:tc>
        <w:tc>
          <w:tcPr>
            <w:tcW w:w="3118" w:type="dxa"/>
          </w:tcPr>
          <w:p w14:paraId="37BFE1D3" w14:textId="212C293A" w:rsidR="006A1E1A" w:rsidRPr="002F0BD1" w:rsidRDefault="006A1E1A" w:rsidP="006A1E1A">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shd w:val="clear" w:color="auto" w:fill="auto"/>
          </w:tcPr>
          <w:p w14:paraId="57473DE2" w14:textId="7C4DCA76"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152FB134" w14:textId="77777777" w:rsidTr="00ED24DA">
        <w:tc>
          <w:tcPr>
            <w:tcW w:w="8359" w:type="dxa"/>
            <w:shd w:val="clear" w:color="auto" w:fill="auto"/>
          </w:tcPr>
          <w:p w14:paraId="4FF8415E" w14:textId="79FC8188"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Number of trades (Negotiated Deals)</w:t>
            </w:r>
          </w:p>
        </w:tc>
        <w:tc>
          <w:tcPr>
            <w:tcW w:w="3118" w:type="dxa"/>
          </w:tcPr>
          <w:p w14:paraId="01F09B9A" w14:textId="3636633F" w:rsidR="006A1E1A" w:rsidRPr="002F0BD1" w:rsidRDefault="006A1E1A" w:rsidP="006A1E1A">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shd w:val="clear" w:color="auto" w:fill="auto"/>
          </w:tcPr>
          <w:p w14:paraId="068E1E5E" w14:textId="4F5D14F7"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74523AB7" w14:textId="77777777" w:rsidTr="00ED24DA">
        <w:tc>
          <w:tcPr>
            <w:tcW w:w="8359" w:type="dxa"/>
            <w:shd w:val="clear" w:color="auto" w:fill="auto"/>
          </w:tcPr>
          <w:p w14:paraId="5068AC5A" w14:textId="4451480D" w:rsidR="006A1E1A" w:rsidRPr="006A1E1A" w:rsidRDefault="006A1E1A" w:rsidP="006A1E1A">
            <w:pPr>
              <w:spacing w:line="247" w:lineRule="auto"/>
              <w:rPr>
                <w:rFonts w:ascii="Arial" w:eastAsia="Times New Roman" w:hAnsi="Arial" w:cs="Arial"/>
                <w:snapToGrid w:val="0"/>
                <w:spacing w:val="-3"/>
                <w:szCs w:val="20"/>
                <w:lang w:eastAsia="fr-FR"/>
              </w:rPr>
            </w:pPr>
            <w:r w:rsidRPr="006A1E1A">
              <w:rPr>
                <w:rFonts w:ascii="Arial" w:eastAsia="Times New Roman" w:hAnsi="Arial" w:cs="Arial"/>
                <w:snapToGrid w:val="0"/>
                <w:spacing w:val="-3"/>
                <w:szCs w:val="20"/>
                <w:lang w:eastAsia="fr-FR"/>
              </w:rPr>
              <w:t>Indicator: Number of trades (</w:t>
            </w:r>
            <w:r>
              <w:rPr>
                <w:rFonts w:ascii="Arial" w:eastAsia="Times New Roman" w:hAnsi="Arial" w:cs="Arial"/>
                <w:snapToGrid w:val="0"/>
                <w:spacing w:val="-3"/>
                <w:szCs w:val="20"/>
                <w:lang w:eastAsia="fr-FR"/>
              </w:rPr>
              <w:t>Total</w:t>
            </w:r>
            <w:r w:rsidRPr="006A1E1A">
              <w:rPr>
                <w:rFonts w:ascii="Arial" w:eastAsia="Times New Roman" w:hAnsi="Arial" w:cs="Arial"/>
                <w:snapToGrid w:val="0"/>
                <w:spacing w:val="-3"/>
                <w:szCs w:val="20"/>
                <w:lang w:eastAsia="fr-FR"/>
              </w:rPr>
              <w:t>)</w:t>
            </w:r>
          </w:p>
        </w:tc>
        <w:tc>
          <w:tcPr>
            <w:tcW w:w="3118" w:type="dxa"/>
          </w:tcPr>
          <w:p w14:paraId="5AA8E796" w14:textId="06B4C4B6" w:rsidR="006A1E1A" w:rsidRDefault="006A1E1A" w:rsidP="006A1E1A">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shd w:val="clear" w:color="auto" w:fill="auto"/>
          </w:tcPr>
          <w:p w14:paraId="1CC95F1A" w14:textId="40FA2A90"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bl>
    <w:p w14:paraId="4FC1D1F2" w14:textId="77777777" w:rsidR="00913AC6" w:rsidRDefault="00913AC6" w:rsidP="00DA7135">
      <w:pPr>
        <w:spacing w:line="247" w:lineRule="auto"/>
        <w:rPr>
          <w:rFonts w:ascii="Arial" w:hAnsi="Arial" w:cs="Arial"/>
          <w:sz w:val="20"/>
          <w:szCs w:val="20"/>
        </w:rPr>
        <w:sectPr w:rsidR="00913AC6" w:rsidSect="00913AC6">
          <w:footerReference w:type="default" r:id="rId11"/>
          <w:pgSz w:w="16838" w:h="11906" w:orient="landscape"/>
          <w:pgMar w:top="1440" w:right="1440" w:bottom="1440" w:left="1440" w:header="709" w:footer="709" w:gutter="0"/>
          <w:cols w:space="708"/>
          <w:docGrid w:linePitch="360"/>
        </w:sectPr>
      </w:pPr>
    </w:p>
    <w:p w14:paraId="3488EF26" w14:textId="62619F9E" w:rsidR="00B76FB6" w:rsidRDefault="00B76FB6" w:rsidP="00E91CD3">
      <w:pPr>
        <w:spacing w:after="0" w:line="240" w:lineRule="auto"/>
        <w:rPr>
          <w:rFonts w:ascii="Arial" w:hAnsi="Arial" w:cs="Arial"/>
          <w:b/>
          <w:szCs w:val="20"/>
        </w:rPr>
      </w:pPr>
      <w:r w:rsidRPr="003B2938">
        <w:rPr>
          <w:rFonts w:ascii="Arial" w:hAnsi="Arial" w:cs="Arial"/>
          <w:b/>
          <w:szCs w:val="20"/>
        </w:rPr>
        <w:lastRenderedPageBreak/>
        <w:t>Definitions</w:t>
      </w:r>
    </w:p>
    <w:p w14:paraId="56356AAE" w14:textId="77777777" w:rsidR="00BF3E90" w:rsidRDefault="00BF3E90" w:rsidP="00E91CD3">
      <w:pPr>
        <w:spacing w:after="0" w:line="240" w:lineRule="auto"/>
        <w:rPr>
          <w:rFonts w:ascii="Arial" w:hAnsi="Arial" w:cs="Arial"/>
          <w:b/>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3B2938" w:rsidRPr="006C7BEB" w14:paraId="5E04D1AA" w14:textId="77777777" w:rsidTr="00D006B3">
        <w:tc>
          <w:tcPr>
            <w:tcW w:w="9016" w:type="dxa"/>
          </w:tcPr>
          <w:p w14:paraId="43DF0663" w14:textId="41B0C759" w:rsidR="003B2938" w:rsidRPr="006C7BEB" w:rsidRDefault="00D37711" w:rsidP="00E91CD3">
            <w:pPr>
              <w:rPr>
                <w:rFonts w:ascii="Arial" w:hAnsi="Arial" w:cs="Arial"/>
                <w:b/>
                <w:i/>
                <w:sz w:val="24"/>
                <w:szCs w:val="24"/>
              </w:rPr>
            </w:pPr>
            <w:bookmarkStart w:id="1" w:name="_Hlk9434179"/>
            <w:r w:rsidRPr="006C7BEB">
              <w:rPr>
                <w:rFonts w:ascii="Arial" w:hAnsi="Arial" w:cs="Arial"/>
                <w:b/>
                <w:i/>
                <w:sz w:val="24"/>
                <w:szCs w:val="24"/>
              </w:rPr>
              <w:t xml:space="preserve">Asset class - </w:t>
            </w:r>
            <w:r w:rsidR="003B2938" w:rsidRPr="006C7BEB">
              <w:rPr>
                <w:rFonts w:ascii="Arial" w:hAnsi="Arial" w:cs="Arial"/>
                <w:b/>
                <w:i/>
                <w:sz w:val="24"/>
                <w:szCs w:val="24"/>
              </w:rPr>
              <w:t xml:space="preserve">Equity </w:t>
            </w:r>
          </w:p>
        </w:tc>
      </w:tr>
      <w:bookmarkEnd w:id="1"/>
    </w:tbl>
    <w:p w14:paraId="0DD9B2E7" w14:textId="77777777" w:rsidR="009D1E67" w:rsidRDefault="009D1E67" w:rsidP="00E91CD3">
      <w:pPr>
        <w:spacing w:after="0" w:line="240" w:lineRule="auto"/>
        <w:jc w:val="both"/>
        <w:rPr>
          <w:rFonts w:ascii="Arial" w:hAnsi="Arial" w:cs="Arial"/>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331F3" w:rsidRPr="006C7BEB" w14:paraId="167A3C1C" w14:textId="77777777" w:rsidTr="0037183B">
        <w:tc>
          <w:tcPr>
            <w:tcW w:w="9016" w:type="dxa"/>
          </w:tcPr>
          <w:p w14:paraId="20678E8C" w14:textId="77777777" w:rsidR="00866EBC" w:rsidRPr="006C7BEB" w:rsidRDefault="0037183B" w:rsidP="00271AA5">
            <w:pPr>
              <w:rPr>
                <w:rFonts w:ascii="Arial" w:hAnsi="Arial" w:cs="Arial"/>
                <w:b/>
                <w:bCs/>
                <w:i/>
                <w:iCs/>
              </w:rPr>
            </w:pPr>
            <w:r w:rsidRPr="006C7BEB">
              <w:rPr>
                <w:rFonts w:ascii="Arial" w:hAnsi="Arial" w:cs="Arial"/>
                <w:b/>
                <w:bCs/>
                <w:i/>
                <w:iCs/>
              </w:rPr>
              <w:t>Products</w:t>
            </w:r>
            <w:r w:rsidR="00866EBC" w:rsidRPr="006C7BEB">
              <w:rPr>
                <w:rFonts w:ascii="Arial" w:hAnsi="Arial" w:cs="Arial"/>
                <w:b/>
                <w:bCs/>
                <w:i/>
                <w:iCs/>
              </w:rPr>
              <w:t>:</w:t>
            </w:r>
          </w:p>
          <w:p w14:paraId="1FE7980F" w14:textId="1CFFE7AD" w:rsidR="00866EBC" w:rsidRPr="006C7BEB" w:rsidRDefault="0037183B" w:rsidP="009331F3">
            <w:pPr>
              <w:pStyle w:val="Heading3"/>
              <w:outlineLvl w:val="2"/>
              <w:rPr>
                <w:rFonts w:ascii="Arial" w:hAnsi="Arial" w:cs="Arial"/>
                <w:b/>
                <w:bCs/>
                <w:i/>
                <w:iCs/>
                <w:color w:val="auto"/>
                <w:sz w:val="22"/>
                <w:szCs w:val="22"/>
              </w:rPr>
            </w:pPr>
            <w:bookmarkStart w:id="2" w:name="_Ref14258638"/>
            <w:r w:rsidRPr="006C7BEB">
              <w:rPr>
                <w:rFonts w:ascii="Arial" w:hAnsi="Arial" w:cs="Arial"/>
                <w:b/>
                <w:bCs/>
                <w:i/>
                <w:iCs/>
                <w:color w:val="auto"/>
                <w:sz w:val="22"/>
                <w:szCs w:val="22"/>
              </w:rPr>
              <w:t>Total Equity Market</w:t>
            </w:r>
            <w:bookmarkEnd w:id="2"/>
            <w:r w:rsidRPr="006C7BEB">
              <w:rPr>
                <w:rFonts w:ascii="Arial" w:hAnsi="Arial" w:cs="Arial"/>
                <w:b/>
                <w:bCs/>
                <w:i/>
                <w:iCs/>
                <w:color w:val="auto"/>
                <w:sz w:val="22"/>
                <w:szCs w:val="22"/>
              </w:rPr>
              <w:t xml:space="preserve"> </w:t>
            </w:r>
          </w:p>
          <w:p w14:paraId="6E6AE904" w14:textId="2F9C72A9" w:rsidR="0037183B" w:rsidRPr="006C7BEB" w:rsidRDefault="0037183B" w:rsidP="009331F3">
            <w:pPr>
              <w:pStyle w:val="Heading3"/>
              <w:outlineLvl w:val="2"/>
              <w:rPr>
                <w:rFonts w:ascii="Arial" w:hAnsi="Arial" w:cs="Arial"/>
                <w:b/>
                <w:bCs/>
                <w:i/>
                <w:iCs/>
                <w:color w:val="auto"/>
                <w:sz w:val="22"/>
                <w:szCs w:val="22"/>
              </w:rPr>
            </w:pPr>
            <w:bookmarkStart w:id="3" w:name="_Ref14258669"/>
            <w:r w:rsidRPr="006C7BEB">
              <w:rPr>
                <w:rFonts w:ascii="Arial" w:hAnsi="Arial" w:cs="Arial"/>
                <w:b/>
                <w:bCs/>
                <w:i/>
                <w:iCs/>
                <w:color w:val="auto"/>
                <w:sz w:val="22"/>
                <w:szCs w:val="22"/>
              </w:rPr>
              <w:t>Alternative &amp; SME</w:t>
            </w:r>
            <w:bookmarkEnd w:id="3"/>
          </w:p>
        </w:tc>
      </w:tr>
    </w:tbl>
    <w:p w14:paraId="0AD6D30A" w14:textId="77777777" w:rsidR="0037183B" w:rsidRDefault="0037183B" w:rsidP="00E91CD3">
      <w:pPr>
        <w:spacing w:after="0" w:line="240" w:lineRule="auto"/>
        <w:jc w:val="both"/>
        <w:rPr>
          <w:rFonts w:ascii="Arial" w:hAnsi="Arial" w:cs="Arial"/>
          <w:sz w:val="20"/>
        </w:rPr>
      </w:pPr>
    </w:p>
    <w:p w14:paraId="4374AADF" w14:textId="4AB811AF" w:rsidR="00586B23" w:rsidRDefault="003F6004" w:rsidP="00E91CD3">
      <w:pPr>
        <w:spacing w:after="0" w:line="240" w:lineRule="auto"/>
        <w:jc w:val="both"/>
        <w:rPr>
          <w:rFonts w:ascii="Arial" w:hAnsi="Arial" w:cs="Arial"/>
          <w:sz w:val="20"/>
        </w:rPr>
      </w:pPr>
      <w:r>
        <w:rPr>
          <w:rFonts w:ascii="Arial" w:hAnsi="Arial" w:cs="Arial"/>
          <w:sz w:val="20"/>
        </w:rPr>
        <w:t>Where</w:t>
      </w:r>
      <w:r w:rsidR="009D197A">
        <w:rPr>
          <w:rFonts w:ascii="Arial" w:hAnsi="Arial" w:cs="Arial"/>
          <w:sz w:val="20"/>
        </w:rPr>
        <w:t xml:space="preserve"> the same indicators </w:t>
      </w:r>
      <w:r>
        <w:rPr>
          <w:rFonts w:ascii="Arial" w:hAnsi="Arial" w:cs="Arial"/>
          <w:sz w:val="20"/>
        </w:rPr>
        <w:t>appear in</w:t>
      </w:r>
      <w:r w:rsidR="009D197A">
        <w:rPr>
          <w:rFonts w:ascii="Arial" w:hAnsi="Arial" w:cs="Arial"/>
          <w:sz w:val="20"/>
        </w:rPr>
        <w:t xml:space="preserve"> both Total Equity Market </w:t>
      </w:r>
      <w:r w:rsidR="008A0881">
        <w:rPr>
          <w:rFonts w:ascii="Arial" w:hAnsi="Arial" w:cs="Arial"/>
          <w:sz w:val="20"/>
        </w:rPr>
        <w:t xml:space="preserve">and Alternative </w:t>
      </w:r>
      <w:r>
        <w:rPr>
          <w:rFonts w:ascii="Arial" w:hAnsi="Arial" w:cs="Arial"/>
          <w:sz w:val="20"/>
        </w:rPr>
        <w:t>&amp; SME</w:t>
      </w:r>
      <w:r w:rsidR="003B54F6">
        <w:rPr>
          <w:rFonts w:ascii="Arial" w:hAnsi="Arial" w:cs="Arial"/>
          <w:sz w:val="20"/>
        </w:rPr>
        <w:t>,</w:t>
      </w:r>
      <w:r>
        <w:rPr>
          <w:rFonts w:ascii="Arial" w:hAnsi="Arial" w:cs="Arial"/>
          <w:sz w:val="20"/>
        </w:rPr>
        <w:t xml:space="preserve"> </w:t>
      </w:r>
      <w:r w:rsidR="006C72B8">
        <w:rPr>
          <w:rFonts w:ascii="Arial" w:hAnsi="Arial" w:cs="Arial"/>
          <w:sz w:val="20"/>
        </w:rPr>
        <w:t>the applicable definitions are the same</w:t>
      </w:r>
      <w:r w:rsidR="00E00E52">
        <w:rPr>
          <w:rFonts w:ascii="Arial" w:hAnsi="Arial" w:cs="Arial"/>
          <w:sz w:val="20"/>
        </w:rPr>
        <w:t>.</w:t>
      </w:r>
      <w:r w:rsidR="006C72B8">
        <w:rPr>
          <w:rFonts w:ascii="Arial" w:hAnsi="Arial" w:cs="Arial"/>
          <w:sz w:val="20"/>
        </w:rPr>
        <w:t xml:space="preserve"> </w:t>
      </w:r>
    </w:p>
    <w:p w14:paraId="7716FA6C" w14:textId="77777777" w:rsidR="00BF3E90" w:rsidRDefault="00BF3E90" w:rsidP="00E91CD3">
      <w:pPr>
        <w:spacing w:after="0" w:line="240" w:lineRule="auto"/>
        <w:jc w:val="both"/>
        <w:rPr>
          <w:rFonts w:ascii="Arial" w:hAnsi="Arial" w:cs="Arial"/>
          <w:sz w:val="20"/>
        </w:rPr>
      </w:pPr>
    </w:p>
    <w:p w14:paraId="480594E1" w14:textId="5A4A7FD5" w:rsidR="00562C40" w:rsidRDefault="009D1E67" w:rsidP="00E91CD3">
      <w:pPr>
        <w:spacing w:after="0" w:line="240" w:lineRule="auto"/>
        <w:jc w:val="both"/>
        <w:rPr>
          <w:rFonts w:ascii="Arial" w:hAnsi="Arial" w:cs="Arial"/>
          <w:sz w:val="20"/>
        </w:rPr>
      </w:pPr>
      <w:r>
        <w:rPr>
          <w:rFonts w:ascii="Arial" w:hAnsi="Arial" w:cs="Arial"/>
          <w:sz w:val="20"/>
        </w:rPr>
        <w:t>Unless indicated otherwise</w:t>
      </w:r>
      <w:r w:rsidR="00562C40">
        <w:rPr>
          <w:rFonts w:ascii="Arial" w:hAnsi="Arial" w:cs="Arial"/>
          <w:sz w:val="20"/>
        </w:rPr>
        <w:t>:</w:t>
      </w:r>
    </w:p>
    <w:p w14:paraId="16798482" w14:textId="2A6FBB34" w:rsidR="00562C40" w:rsidRDefault="009D1E67" w:rsidP="00E91CD3">
      <w:pPr>
        <w:pStyle w:val="ListParagraph"/>
        <w:numPr>
          <w:ilvl w:val="0"/>
          <w:numId w:val="2"/>
        </w:numPr>
        <w:jc w:val="both"/>
        <w:rPr>
          <w:rFonts w:ascii="Arial" w:hAnsi="Arial" w:cs="Arial"/>
          <w:sz w:val="20"/>
        </w:rPr>
      </w:pPr>
      <w:r w:rsidRPr="00562C40">
        <w:rPr>
          <w:rFonts w:ascii="Arial" w:hAnsi="Arial" w:cs="Arial"/>
          <w:sz w:val="20"/>
        </w:rPr>
        <w:t xml:space="preserve">all Total Equity Market </w:t>
      </w:r>
      <w:r w:rsidR="00C145F3" w:rsidRPr="00562C40">
        <w:rPr>
          <w:rFonts w:ascii="Arial" w:hAnsi="Arial" w:cs="Arial"/>
          <w:sz w:val="20"/>
        </w:rPr>
        <w:t xml:space="preserve">figures </w:t>
      </w:r>
      <w:r w:rsidRPr="00562C40">
        <w:rPr>
          <w:rFonts w:ascii="Arial" w:hAnsi="Arial" w:cs="Arial"/>
          <w:sz w:val="20"/>
        </w:rPr>
        <w:t>include the Main/Official market and any Alternativ</w:t>
      </w:r>
      <w:r w:rsidR="00E876FA">
        <w:rPr>
          <w:rFonts w:ascii="Arial" w:hAnsi="Arial" w:cs="Arial"/>
          <w:sz w:val="20"/>
        </w:rPr>
        <w:t>e</w:t>
      </w:r>
      <w:r w:rsidRPr="00562C40">
        <w:rPr>
          <w:rFonts w:ascii="Arial" w:hAnsi="Arial" w:cs="Arial"/>
          <w:sz w:val="20"/>
        </w:rPr>
        <w:t>/SME markets supervised and regulated by the Exchange</w:t>
      </w:r>
      <w:r w:rsidR="00562C40">
        <w:rPr>
          <w:rFonts w:ascii="Arial" w:hAnsi="Arial" w:cs="Arial"/>
          <w:sz w:val="20"/>
        </w:rPr>
        <w:t xml:space="preserve">; </w:t>
      </w:r>
    </w:p>
    <w:p w14:paraId="14BDCC5B" w14:textId="15A975DC" w:rsidR="00152FE9" w:rsidRDefault="00562C40" w:rsidP="00E91CD3">
      <w:pPr>
        <w:pStyle w:val="ListParagraph"/>
        <w:numPr>
          <w:ilvl w:val="0"/>
          <w:numId w:val="2"/>
        </w:numPr>
        <w:jc w:val="both"/>
        <w:rPr>
          <w:rFonts w:ascii="Arial" w:hAnsi="Arial" w:cs="Arial"/>
          <w:sz w:val="20"/>
        </w:rPr>
      </w:pPr>
      <w:proofErr w:type="gramStart"/>
      <w:r>
        <w:rPr>
          <w:rFonts w:ascii="Arial" w:hAnsi="Arial" w:cs="Arial"/>
          <w:sz w:val="20"/>
        </w:rPr>
        <w:t>all</w:t>
      </w:r>
      <w:proofErr w:type="gramEnd"/>
      <w:r>
        <w:rPr>
          <w:rFonts w:ascii="Arial" w:hAnsi="Arial" w:cs="Arial"/>
          <w:sz w:val="20"/>
        </w:rPr>
        <w:t xml:space="preserve"> </w:t>
      </w:r>
      <w:r w:rsidR="00C145F3" w:rsidRPr="00562C40">
        <w:rPr>
          <w:rFonts w:ascii="Arial" w:hAnsi="Arial" w:cs="Arial"/>
          <w:sz w:val="20"/>
        </w:rPr>
        <w:t xml:space="preserve">Alternative &amp; SME </w:t>
      </w:r>
      <w:r w:rsidR="00E83B56" w:rsidRPr="00562C40">
        <w:rPr>
          <w:rFonts w:ascii="Arial" w:hAnsi="Arial" w:cs="Arial"/>
          <w:sz w:val="20"/>
        </w:rPr>
        <w:t xml:space="preserve">figures </w:t>
      </w:r>
      <w:r w:rsidR="00014B04" w:rsidRPr="00562C40">
        <w:rPr>
          <w:rFonts w:ascii="Arial" w:hAnsi="Arial" w:cs="Arial"/>
          <w:sz w:val="20"/>
        </w:rPr>
        <w:t xml:space="preserve">apply </w:t>
      </w:r>
      <w:r w:rsidR="00B80ED2">
        <w:rPr>
          <w:rFonts w:ascii="Arial" w:hAnsi="Arial" w:cs="Arial"/>
          <w:sz w:val="20"/>
        </w:rPr>
        <w:t xml:space="preserve">only to the </w:t>
      </w:r>
      <w:r w:rsidR="00B80ED2" w:rsidRPr="00562C40">
        <w:rPr>
          <w:rFonts w:ascii="Arial" w:hAnsi="Arial" w:cs="Arial"/>
          <w:sz w:val="20"/>
        </w:rPr>
        <w:t>Alternative/SME markets supervised and regulated by the Exchange</w:t>
      </w:r>
      <w:r w:rsidR="00705615">
        <w:rPr>
          <w:rFonts w:ascii="Arial" w:hAnsi="Arial" w:cs="Arial"/>
          <w:sz w:val="20"/>
        </w:rPr>
        <w:t>.</w:t>
      </w:r>
    </w:p>
    <w:p w14:paraId="46E0BC59" w14:textId="77777777" w:rsidR="00BF3E90" w:rsidRDefault="00BF3E90" w:rsidP="00E91CD3">
      <w:pPr>
        <w:pStyle w:val="Heading6"/>
        <w:tabs>
          <w:tab w:val="clear" w:pos="1051"/>
          <w:tab w:val="clear" w:pos="2016"/>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lang w:val="en-GB"/>
        </w:rPr>
      </w:pPr>
      <w:bookmarkStart w:id="4" w:name="_Ref13656670"/>
    </w:p>
    <w:p w14:paraId="43224991" w14:textId="4791FE97" w:rsidR="00DD745B" w:rsidRPr="0066060D" w:rsidRDefault="009C73FF" w:rsidP="0066060D">
      <w:pPr>
        <w:rPr>
          <w:rFonts w:ascii="Arial" w:hAnsi="Arial" w:cs="Arial"/>
          <w:b/>
          <w:bCs/>
        </w:rPr>
      </w:pPr>
      <w:r w:rsidRPr="0066060D">
        <w:rPr>
          <w:rFonts w:ascii="Arial" w:hAnsi="Arial" w:cs="Arial"/>
          <w:b/>
          <w:bCs/>
        </w:rPr>
        <w:t>Indicator</w:t>
      </w:r>
      <w:r w:rsidR="00A0146E" w:rsidRPr="0066060D">
        <w:rPr>
          <w:rFonts w:ascii="Arial" w:hAnsi="Arial" w:cs="Arial"/>
          <w:b/>
          <w:bCs/>
        </w:rPr>
        <w:t xml:space="preserve">: </w:t>
      </w:r>
      <w:r w:rsidR="00E412D7" w:rsidRPr="0066060D">
        <w:rPr>
          <w:rFonts w:ascii="Arial" w:hAnsi="Arial" w:cs="Arial"/>
          <w:b/>
          <w:bCs/>
        </w:rPr>
        <w:t>M</w:t>
      </w:r>
      <w:r w:rsidR="00DD745B" w:rsidRPr="0066060D">
        <w:rPr>
          <w:rFonts w:ascii="Arial" w:hAnsi="Arial" w:cs="Arial"/>
          <w:b/>
          <w:bCs/>
        </w:rPr>
        <w:t>arket capitalisation</w:t>
      </w:r>
      <w:bookmarkEnd w:id="4"/>
      <w:r w:rsidR="00DD745B" w:rsidRPr="0066060D">
        <w:rPr>
          <w:rFonts w:ascii="Arial" w:hAnsi="Arial" w:cs="Arial"/>
          <w:b/>
          <w:bCs/>
        </w:rPr>
        <w:t xml:space="preserve"> </w:t>
      </w:r>
    </w:p>
    <w:p w14:paraId="43A60152" w14:textId="3A3E63FE" w:rsidR="00DD745B" w:rsidRPr="00745199" w:rsidRDefault="00E412D7" w:rsidP="00E91CD3">
      <w:pPr>
        <w:suppressAutoHyphens/>
        <w:spacing w:after="0" w:line="240" w:lineRule="auto"/>
        <w:jc w:val="both"/>
      </w:pPr>
      <w:r w:rsidRPr="00924DC1">
        <w:rPr>
          <w:rFonts w:ascii="Arial" w:hAnsi="Arial" w:cs="Arial"/>
          <w:spacing w:val="-3"/>
          <w:sz w:val="20"/>
          <w:szCs w:val="20"/>
        </w:rPr>
        <w:t>M</w:t>
      </w:r>
      <w:r w:rsidR="00DD745B" w:rsidRPr="00924DC1">
        <w:rPr>
          <w:rFonts w:ascii="Arial" w:hAnsi="Arial" w:cs="Arial"/>
          <w:spacing w:val="-3"/>
          <w:sz w:val="20"/>
          <w:szCs w:val="20"/>
        </w:rPr>
        <w:t xml:space="preserve">arket capitalisation is the total number of issued shares of </w:t>
      </w:r>
      <w:r w:rsidR="00745199" w:rsidRPr="00745199">
        <w:rPr>
          <w:rFonts w:ascii="Arial" w:eastAsia="Times New Roman" w:hAnsi="Arial" w:cs="Arial"/>
          <w:snapToGrid w:val="0"/>
          <w:color w:val="002060"/>
          <w:sz w:val="20"/>
          <w:szCs w:val="20"/>
          <w:u w:val="single"/>
          <w:lang w:eastAsia="fr-FR"/>
        </w:rPr>
        <w:fldChar w:fldCharType="begin"/>
      </w:r>
      <w:r w:rsidR="00745199" w:rsidRPr="00745199">
        <w:rPr>
          <w:rFonts w:ascii="Arial" w:eastAsia="Times New Roman" w:hAnsi="Arial" w:cs="Arial"/>
          <w:snapToGrid w:val="0"/>
          <w:color w:val="002060"/>
          <w:sz w:val="20"/>
          <w:szCs w:val="20"/>
          <w:u w:val="single"/>
          <w:lang w:eastAsia="fr-FR"/>
        </w:rPr>
        <w:instrText xml:space="preserve"> REF _Ref13563231 \h </w:instrText>
      </w:r>
      <w:r w:rsidR="00745199">
        <w:rPr>
          <w:rFonts w:ascii="Arial" w:eastAsia="Times New Roman" w:hAnsi="Arial" w:cs="Arial"/>
          <w:snapToGrid w:val="0"/>
          <w:color w:val="002060"/>
          <w:sz w:val="20"/>
          <w:szCs w:val="20"/>
          <w:u w:val="single"/>
          <w:lang w:eastAsia="fr-FR"/>
        </w:rPr>
        <w:instrText xml:space="preserve"> \* MERGEFORMAT </w:instrText>
      </w:r>
      <w:r w:rsidR="00745199" w:rsidRPr="00745199">
        <w:rPr>
          <w:rFonts w:ascii="Arial" w:eastAsia="Times New Roman" w:hAnsi="Arial" w:cs="Arial"/>
          <w:snapToGrid w:val="0"/>
          <w:color w:val="002060"/>
          <w:sz w:val="20"/>
          <w:szCs w:val="20"/>
          <w:u w:val="single"/>
          <w:lang w:eastAsia="fr-FR"/>
        </w:rPr>
      </w:r>
      <w:r w:rsidR="00745199" w:rsidRPr="00745199">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745199" w:rsidRPr="00745199">
        <w:rPr>
          <w:rFonts w:ascii="Arial" w:eastAsia="Times New Roman" w:hAnsi="Arial" w:cs="Arial"/>
          <w:snapToGrid w:val="0"/>
          <w:color w:val="002060"/>
          <w:sz w:val="20"/>
          <w:szCs w:val="20"/>
          <w:u w:val="single"/>
          <w:lang w:eastAsia="fr-FR"/>
        </w:rPr>
        <w:fldChar w:fldCharType="end"/>
      </w:r>
      <w:r w:rsidR="00DD745B" w:rsidRPr="00924DC1">
        <w:rPr>
          <w:rFonts w:ascii="Arial" w:hAnsi="Arial" w:cs="Arial"/>
          <w:spacing w:val="-3"/>
          <w:sz w:val="20"/>
          <w:szCs w:val="20"/>
        </w:rPr>
        <w:t>, including their several classes, multiplied by their respective prices at a given time. This figure reflects the comprehensive value of the market at that time.</w:t>
      </w:r>
    </w:p>
    <w:p w14:paraId="2D6944FA" w14:textId="77777777" w:rsidR="00BF3E90"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17B5075F" w14:textId="36A685D6" w:rsidR="00DD745B"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r w:rsidRPr="00490F9F">
        <w:rPr>
          <w:rFonts w:ascii="Arial" w:hAnsi="Arial" w:cs="Arial"/>
          <w:spacing w:val="-3"/>
          <w:sz w:val="20"/>
        </w:rPr>
        <w:t>The market capitalis</w:t>
      </w:r>
      <w:r>
        <w:rPr>
          <w:rFonts w:ascii="Arial" w:hAnsi="Arial" w:cs="Arial"/>
          <w:spacing w:val="-3"/>
          <w:sz w:val="20"/>
        </w:rPr>
        <w:t>ation figures include:</w:t>
      </w:r>
    </w:p>
    <w:p w14:paraId="16E89238" w14:textId="03B5B1AB"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3D3463">
        <w:rPr>
          <w:rFonts w:ascii="Arial" w:hAnsi="Arial" w:cs="Arial"/>
          <w:spacing w:val="-3"/>
          <w:sz w:val="20"/>
        </w:rPr>
        <w:t xml:space="preserve">shares of listed </w:t>
      </w:r>
      <w:r w:rsidR="00745199" w:rsidRPr="00CF79EE">
        <w:rPr>
          <w:rFonts w:ascii="Arial" w:hAnsi="Arial" w:cs="Arial"/>
          <w:color w:val="002060"/>
          <w:sz w:val="20"/>
          <w:u w:val="single"/>
        </w:rPr>
        <w:fldChar w:fldCharType="begin"/>
      </w:r>
      <w:r w:rsidR="00745199" w:rsidRPr="00CF79EE">
        <w:rPr>
          <w:rFonts w:ascii="Arial" w:hAnsi="Arial" w:cs="Arial"/>
          <w:color w:val="002060"/>
          <w:sz w:val="20"/>
          <w:u w:val="single"/>
        </w:rPr>
        <w:instrText xml:space="preserve"> REF _Ref13563231 \h </w:instrText>
      </w:r>
      <w:r w:rsidR="00CF79EE">
        <w:rPr>
          <w:rFonts w:ascii="Arial" w:hAnsi="Arial" w:cs="Arial"/>
          <w:color w:val="002060"/>
          <w:sz w:val="20"/>
          <w:u w:val="single"/>
        </w:rPr>
        <w:instrText xml:space="preserve"> \* MERGEFORMAT </w:instrText>
      </w:r>
      <w:r w:rsidR="00745199" w:rsidRPr="00CF79EE">
        <w:rPr>
          <w:rFonts w:ascii="Arial" w:hAnsi="Arial" w:cs="Arial"/>
          <w:color w:val="002060"/>
          <w:sz w:val="20"/>
          <w:u w:val="single"/>
        </w:rPr>
      </w:r>
      <w:r w:rsidR="00745199" w:rsidRPr="00CF79EE">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745199" w:rsidRPr="00CF79EE">
        <w:rPr>
          <w:rFonts w:ascii="Arial" w:hAnsi="Arial" w:cs="Arial"/>
          <w:color w:val="002060"/>
          <w:sz w:val="20"/>
          <w:u w:val="single"/>
        </w:rPr>
        <w:fldChar w:fldCharType="end"/>
      </w:r>
    </w:p>
    <w:p w14:paraId="323120A0" w14:textId="555F7980"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3D3463">
        <w:rPr>
          <w:rFonts w:ascii="Arial" w:hAnsi="Arial" w:cs="Arial"/>
          <w:spacing w:val="-3"/>
          <w:sz w:val="20"/>
        </w:rPr>
        <w:t xml:space="preserve">common and preferred shares of </w:t>
      </w:r>
      <w:r w:rsidR="00745199" w:rsidRPr="00CF79EE">
        <w:rPr>
          <w:rFonts w:ascii="Arial" w:hAnsi="Arial" w:cs="Arial"/>
          <w:color w:val="002060"/>
          <w:sz w:val="20"/>
          <w:u w:val="single"/>
        </w:rPr>
        <w:fldChar w:fldCharType="begin"/>
      </w:r>
      <w:r w:rsidR="00745199" w:rsidRPr="00CF79EE">
        <w:rPr>
          <w:rFonts w:ascii="Arial" w:hAnsi="Arial" w:cs="Arial"/>
          <w:color w:val="002060"/>
          <w:sz w:val="20"/>
          <w:u w:val="single"/>
        </w:rPr>
        <w:instrText xml:space="preserve"> REF _Ref13563231 \h </w:instrText>
      </w:r>
      <w:r w:rsidR="00CF79EE">
        <w:rPr>
          <w:rFonts w:ascii="Arial" w:hAnsi="Arial" w:cs="Arial"/>
          <w:color w:val="002060"/>
          <w:sz w:val="20"/>
          <w:u w:val="single"/>
        </w:rPr>
        <w:instrText xml:space="preserve"> \* MERGEFORMAT </w:instrText>
      </w:r>
      <w:r w:rsidR="00745199" w:rsidRPr="00CF79EE">
        <w:rPr>
          <w:rFonts w:ascii="Arial" w:hAnsi="Arial" w:cs="Arial"/>
          <w:color w:val="002060"/>
          <w:sz w:val="20"/>
          <w:u w:val="single"/>
        </w:rPr>
      </w:r>
      <w:r w:rsidR="00745199" w:rsidRPr="00CF79EE">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745199" w:rsidRPr="00CF79EE">
        <w:rPr>
          <w:rFonts w:ascii="Arial" w:hAnsi="Arial" w:cs="Arial"/>
          <w:color w:val="002060"/>
          <w:sz w:val="20"/>
          <w:u w:val="single"/>
        </w:rPr>
        <w:fldChar w:fldCharType="end"/>
      </w:r>
    </w:p>
    <w:p w14:paraId="21BD697A" w14:textId="0F4EF5B7" w:rsidR="00DD745B" w:rsidRPr="003D3463"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3D3463">
        <w:rPr>
          <w:rFonts w:ascii="Arial" w:hAnsi="Arial" w:cs="Arial"/>
          <w:spacing w:val="-3"/>
          <w:sz w:val="20"/>
        </w:rPr>
        <w:t>shares without voting rights</w:t>
      </w:r>
      <w:r>
        <w:rPr>
          <w:rFonts w:ascii="Arial" w:hAnsi="Arial" w:cs="Arial"/>
          <w:spacing w:val="-3"/>
          <w:sz w:val="20"/>
        </w:rPr>
        <w:t xml:space="preserve"> of </w:t>
      </w:r>
      <w:r w:rsidR="00745199" w:rsidRPr="00CF79EE">
        <w:rPr>
          <w:rFonts w:ascii="Arial" w:hAnsi="Arial" w:cs="Arial"/>
          <w:color w:val="002060"/>
          <w:sz w:val="20"/>
          <w:u w:val="single"/>
        </w:rPr>
        <w:fldChar w:fldCharType="begin"/>
      </w:r>
      <w:r w:rsidR="00745199" w:rsidRPr="00CF79EE">
        <w:rPr>
          <w:rFonts w:ascii="Arial" w:hAnsi="Arial" w:cs="Arial"/>
          <w:color w:val="002060"/>
          <w:sz w:val="20"/>
          <w:u w:val="single"/>
        </w:rPr>
        <w:instrText xml:space="preserve"> REF _Ref13563231 \h </w:instrText>
      </w:r>
      <w:r w:rsidR="00CF79EE">
        <w:rPr>
          <w:rFonts w:ascii="Arial" w:hAnsi="Arial" w:cs="Arial"/>
          <w:color w:val="002060"/>
          <w:sz w:val="20"/>
          <w:u w:val="single"/>
        </w:rPr>
        <w:instrText xml:space="preserve"> \* MERGEFORMAT </w:instrText>
      </w:r>
      <w:r w:rsidR="00745199" w:rsidRPr="00CF79EE">
        <w:rPr>
          <w:rFonts w:ascii="Arial" w:hAnsi="Arial" w:cs="Arial"/>
          <w:color w:val="002060"/>
          <w:sz w:val="20"/>
          <w:u w:val="single"/>
        </w:rPr>
      </w:r>
      <w:r w:rsidR="00745199" w:rsidRPr="00CF79EE">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745199" w:rsidRPr="00CF79EE">
        <w:rPr>
          <w:rFonts w:ascii="Arial" w:hAnsi="Arial" w:cs="Arial"/>
          <w:color w:val="002060"/>
          <w:sz w:val="20"/>
          <w:u w:val="single"/>
        </w:rPr>
        <w:fldChar w:fldCharType="end"/>
      </w:r>
    </w:p>
    <w:p w14:paraId="0A28729F" w14:textId="77777777" w:rsidR="00BF3E90"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3BF90C1D" w14:textId="3A87E351" w:rsidR="00DD745B" w:rsidRPr="00490F9F"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r w:rsidRPr="00490F9F">
        <w:rPr>
          <w:rFonts w:ascii="Arial" w:hAnsi="Arial" w:cs="Arial"/>
          <w:spacing w:val="-3"/>
          <w:sz w:val="20"/>
        </w:rPr>
        <w:t>The market capitalisation figures exclude:</w:t>
      </w:r>
    </w:p>
    <w:p w14:paraId="5C529B1C"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807114">
        <w:rPr>
          <w:rFonts w:ascii="Arial" w:hAnsi="Arial" w:cs="Arial"/>
          <w:spacing w:val="-3"/>
          <w:sz w:val="20"/>
        </w:rPr>
        <w:t>collective investment funds</w:t>
      </w:r>
      <w:r>
        <w:rPr>
          <w:rFonts w:ascii="Arial" w:hAnsi="Arial" w:cs="Arial"/>
          <w:spacing w:val="-3"/>
          <w:sz w:val="20"/>
        </w:rPr>
        <w:t xml:space="preserve"> including ETFs</w:t>
      </w:r>
      <w:r w:rsidRPr="00807114">
        <w:rPr>
          <w:rFonts w:ascii="Arial" w:hAnsi="Arial" w:cs="Arial"/>
          <w:spacing w:val="-3"/>
          <w:sz w:val="20"/>
        </w:rPr>
        <w:t>;</w:t>
      </w:r>
    </w:p>
    <w:p w14:paraId="6815748F"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rights, warrants, convertible instruments;</w:t>
      </w:r>
    </w:p>
    <w:p w14:paraId="1A2587AA"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options, futures;</w:t>
      </w:r>
    </w:p>
    <w:p w14:paraId="2CD245F2" w14:textId="213EA327" w:rsidR="00DD745B" w:rsidRDefault="001862B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shares of </w:t>
      </w:r>
      <w:r w:rsidR="00CF79EE" w:rsidRPr="00CF79EE">
        <w:rPr>
          <w:rFonts w:ascii="Arial" w:hAnsi="Arial" w:cs="Arial"/>
          <w:color w:val="002060"/>
          <w:sz w:val="20"/>
          <w:u w:val="single"/>
        </w:rPr>
        <w:fldChar w:fldCharType="begin"/>
      </w:r>
      <w:r w:rsidR="00CF79EE" w:rsidRPr="00CF79EE">
        <w:rPr>
          <w:rFonts w:ascii="Arial" w:hAnsi="Arial" w:cs="Arial"/>
          <w:color w:val="002060"/>
          <w:sz w:val="20"/>
          <w:u w:val="single"/>
        </w:rPr>
        <w:instrText xml:space="preserve"> REF _Ref13563374 \h </w:instrText>
      </w:r>
      <w:r w:rsidR="00CF79EE">
        <w:rPr>
          <w:rFonts w:ascii="Arial" w:hAnsi="Arial" w:cs="Arial"/>
          <w:color w:val="002060"/>
          <w:sz w:val="20"/>
          <w:u w:val="single"/>
        </w:rPr>
        <w:instrText xml:space="preserve"> \* MERGEFORMAT </w:instrText>
      </w:r>
      <w:r w:rsidR="00CF79EE" w:rsidRPr="00CF79EE">
        <w:rPr>
          <w:rFonts w:ascii="Arial" w:hAnsi="Arial" w:cs="Arial"/>
          <w:color w:val="002060"/>
          <w:sz w:val="20"/>
          <w:u w:val="single"/>
        </w:rPr>
      </w:r>
      <w:r w:rsidR="00CF79EE" w:rsidRPr="00CF79EE">
        <w:rPr>
          <w:rFonts w:ascii="Arial" w:hAnsi="Arial" w:cs="Arial"/>
          <w:color w:val="002060"/>
          <w:sz w:val="20"/>
          <w:u w:val="single"/>
        </w:rPr>
        <w:fldChar w:fldCharType="separate"/>
      </w:r>
      <w:r w:rsidR="0094528E" w:rsidRPr="0094528E">
        <w:rPr>
          <w:rFonts w:ascii="Arial" w:hAnsi="Arial" w:cs="Arial"/>
          <w:color w:val="002060"/>
          <w:sz w:val="20"/>
          <w:u w:val="single"/>
        </w:rPr>
        <w:t>Foreign Companies</w:t>
      </w:r>
      <w:r w:rsidR="00CF79EE" w:rsidRPr="00CF79EE">
        <w:rPr>
          <w:rFonts w:ascii="Arial" w:hAnsi="Arial" w:cs="Arial"/>
          <w:color w:val="002060"/>
          <w:sz w:val="20"/>
          <w:u w:val="single"/>
        </w:rPr>
        <w:fldChar w:fldCharType="end"/>
      </w:r>
      <w:r w:rsidR="00DD745B" w:rsidRPr="00BB004A">
        <w:rPr>
          <w:rFonts w:ascii="Arial" w:hAnsi="Arial" w:cs="Arial"/>
          <w:spacing w:val="-3"/>
          <w:sz w:val="20"/>
        </w:rPr>
        <w:t>;</w:t>
      </w:r>
    </w:p>
    <w:p w14:paraId="19D22FCE"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companies whose only business goal is to hold shares of other listed companies, such as holding companies and investment companies;</w:t>
      </w:r>
    </w:p>
    <w:p w14:paraId="2F80B1FA" w14:textId="77777777" w:rsidR="00DD745B" w:rsidRPr="00BB004A"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companies admitted to trading (companies admitted to trading are companies whose shares are traded at the exchange but not listed at the exchange)</w:t>
      </w:r>
    </w:p>
    <w:p w14:paraId="461CF0AB" w14:textId="77777777" w:rsidR="00BF3E90"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4F0E5035" w14:textId="4CC1E938" w:rsidR="00DD745B" w:rsidRPr="00490F9F"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r w:rsidRPr="00490F9F">
        <w:rPr>
          <w:rFonts w:ascii="Arial" w:hAnsi="Arial" w:cs="Arial"/>
          <w:spacing w:val="-3"/>
          <w:sz w:val="20"/>
        </w:rPr>
        <w:t xml:space="preserve">The universe of domestic listed companies should be the basis of the domestic market capitalisation. </w:t>
      </w:r>
    </w:p>
    <w:p w14:paraId="2AD01419" w14:textId="77777777" w:rsidR="00BF3E90" w:rsidRDefault="00BF3E90" w:rsidP="00E91CD3">
      <w:pPr>
        <w:spacing w:after="0" w:line="240" w:lineRule="auto"/>
        <w:rPr>
          <w:rFonts w:ascii="Arial" w:hAnsi="Arial" w:cs="Arial"/>
          <w:bCs/>
          <w:i/>
          <w:sz w:val="20"/>
          <w:u w:val="single"/>
        </w:rPr>
      </w:pPr>
    </w:p>
    <w:p w14:paraId="5D12621C" w14:textId="5F49BC77" w:rsidR="00DD745B" w:rsidRPr="00490F9F" w:rsidRDefault="00DD745B" w:rsidP="00E91CD3">
      <w:pPr>
        <w:spacing w:after="0" w:line="240" w:lineRule="auto"/>
        <w:rPr>
          <w:rFonts w:ascii="Arial" w:hAnsi="Arial" w:cs="Arial"/>
          <w:bCs/>
          <w:i/>
          <w:sz w:val="20"/>
        </w:rPr>
      </w:pPr>
      <w:r w:rsidRPr="00490F9F">
        <w:rPr>
          <w:rFonts w:ascii="Arial" w:hAnsi="Arial" w:cs="Arial"/>
          <w:bCs/>
          <w:i/>
          <w:sz w:val="20"/>
          <w:u w:val="single"/>
        </w:rPr>
        <w:t>Example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6"/>
        <w:gridCol w:w="1660"/>
        <w:gridCol w:w="1023"/>
        <w:gridCol w:w="729"/>
        <w:gridCol w:w="1168"/>
        <w:gridCol w:w="1315"/>
        <w:gridCol w:w="1168"/>
      </w:tblGrid>
      <w:tr w:rsidR="004E7BB4" w:rsidRPr="004E7BB4" w14:paraId="00D1B8B2" w14:textId="77777777" w:rsidTr="00921BEC">
        <w:trPr>
          <w:trHeight w:val="20"/>
        </w:trPr>
        <w:tc>
          <w:tcPr>
            <w:tcW w:w="2576" w:type="dxa"/>
            <w:shd w:val="clear" w:color="auto" w:fill="00709E"/>
            <w:noWrap/>
            <w:vAlign w:val="center"/>
          </w:tcPr>
          <w:p w14:paraId="44236D92" w14:textId="77777777" w:rsidR="004E7BB4" w:rsidRPr="004E7BB4" w:rsidRDefault="004E7BB4" w:rsidP="00E91CD3">
            <w:pPr>
              <w:spacing w:after="0" w:line="240" w:lineRule="auto"/>
              <w:ind w:firstLine="59"/>
              <w:rPr>
                <w:rFonts w:ascii="Arial" w:hAnsi="Arial" w:cs="Arial"/>
                <w:b/>
                <w:bCs/>
                <w:color w:val="FFFFFF"/>
                <w:sz w:val="16"/>
                <w:szCs w:val="16"/>
              </w:rPr>
            </w:pPr>
            <w:r w:rsidRPr="004E7BB4">
              <w:rPr>
                <w:rFonts w:ascii="Arial" w:hAnsi="Arial" w:cs="Arial"/>
                <w:b/>
                <w:bCs/>
                <w:color w:val="FFFFFF"/>
                <w:sz w:val="16"/>
                <w:szCs w:val="16"/>
              </w:rPr>
              <w:t>Company</w:t>
            </w:r>
          </w:p>
        </w:tc>
        <w:tc>
          <w:tcPr>
            <w:tcW w:w="1660" w:type="dxa"/>
            <w:shd w:val="clear" w:color="auto" w:fill="00709E"/>
            <w:noWrap/>
            <w:vAlign w:val="center"/>
          </w:tcPr>
          <w:p w14:paraId="1E2F4BDD"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Share class</w:t>
            </w:r>
          </w:p>
        </w:tc>
        <w:tc>
          <w:tcPr>
            <w:tcW w:w="1023" w:type="dxa"/>
            <w:shd w:val="clear" w:color="auto" w:fill="00709E"/>
            <w:noWrap/>
            <w:vAlign w:val="center"/>
          </w:tcPr>
          <w:p w14:paraId="177E1E40"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Number of shares</w:t>
            </w:r>
          </w:p>
        </w:tc>
        <w:tc>
          <w:tcPr>
            <w:tcW w:w="729" w:type="dxa"/>
            <w:shd w:val="clear" w:color="auto" w:fill="00709E"/>
            <w:noWrap/>
            <w:vAlign w:val="center"/>
          </w:tcPr>
          <w:p w14:paraId="5C5B433B"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Price</w:t>
            </w:r>
          </w:p>
        </w:tc>
        <w:tc>
          <w:tcPr>
            <w:tcW w:w="1168" w:type="dxa"/>
            <w:shd w:val="clear" w:color="auto" w:fill="00709E"/>
            <w:noWrap/>
            <w:vAlign w:val="center"/>
          </w:tcPr>
          <w:p w14:paraId="342F214D"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Share class market cap</w:t>
            </w:r>
          </w:p>
        </w:tc>
        <w:tc>
          <w:tcPr>
            <w:tcW w:w="1315" w:type="dxa"/>
            <w:shd w:val="clear" w:color="auto" w:fill="00709E"/>
            <w:noWrap/>
            <w:vAlign w:val="center"/>
          </w:tcPr>
          <w:p w14:paraId="0F1D4BE9"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Company market cap</w:t>
            </w:r>
          </w:p>
        </w:tc>
        <w:tc>
          <w:tcPr>
            <w:tcW w:w="1168" w:type="dxa"/>
            <w:shd w:val="clear" w:color="auto" w:fill="00709E"/>
            <w:noWrap/>
            <w:vAlign w:val="center"/>
          </w:tcPr>
          <w:p w14:paraId="71F5E150"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Exchange market cap</w:t>
            </w:r>
          </w:p>
        </w:tc>
      </w:tr>
      <w:tr w:rsidR="004E7BB4" w:rsidRPr="004E7BB4" w14:paraId="03C865A4" w14:textId="77777777" w:rsidTr="00921BEC">
        <w:trPr>
          <w:trHeight w:val="20"/>
        </w:trPr>
        <w:tc>
          <w:tcPr>
            <w:tcW w:w="2576" w:type="dxa"/>
            <w:shd w:val="clear" w:color="auto" w:fill="00709E"/>
            <w:noWrap/>
            <w:vAlign w:val="bottom"/>
          </w:tcPr>
          <w:p w14:paraId="08A7373F"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A</w:t>
            </w:r>
          </w:p>
        </w:tc>
        <w:tc>
          <w:tcPr>
            <w:tcW w:w="1660" w:type="dxa"/>
            <w:noWrap/>
            <w:vAlign w:val="center"/>
          </w:tcPr>
          <w:p w14:paraId="11FF104E"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Ordinary shares</w:t>
            </w:r>
          </w:p>
        </w:tc>
        <w:tc>
          <w:tcPr>
            <w:tcW w:w="1023" w:type="dxa"/>
            <w:noWrap/>
            <w:vAlign w:val="center"/>
          </w:tcPr>
          <w:p w14:paraId="012149F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100</w:t>
            </w:r>
          </w:p>
        </w:tc>
        <w:tc>
          <w:tcPr>
            <w:tcW w:w="729" w:type="dxa"/>
            <w:noWrap/>
            <w:vAlign w:val="center"/>
          </w:tcPr>
          <w:p w14:paraId="751EEE04"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w:t>
            </w:r>
          </w:p>
        </w:tc>
        <w:tc>
          <w:tcPr>
            <w:tcW w:w="1168" w:type="dxa"/>
            <w:noWrap/>
            <w:vAlign w:val="center"/>
          </w:tcPr>
          <w:p w14:paraId="3E9E05E1"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200</w:t>
            </w:r>
          </w:p>
        </w:tc>
        <w:tc>
          <w:tcPr>
            <w:tcW w:w="1315" w:type="dxa"/>
            <w:noWrap/>
            <w:vAlign w:val="center"/>
          </w:tcPr>
          <w:p w14:paraId="4F545E1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Included</w:t>
            </w:r>
          </w:p>
        </w:tc>
        <w:tc>
          <w:tcPr>
            <w:tcW w:w="1168" w:type="dxa"/>
            <w:noWrap/>
            <w:vAlign w:val="center"/>
          </w:tcPr>
          <w:p w14:paraId="72AA2132"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6EB90617" w14:textId="77777777" w:rsidTr="00921BEC">
        <w:trPr>
          <w:trHeight w:val="20"/>
        </w:trPr>
        <w:tc>
          <w:tcPr>
            <w:tcW w:w="2576" w:type="dxa"/>
            <w:shd w:val="clear" w:color="auto" w:fill="00709E"/>
            <w:noWrap/>
            <w:vAlign w:val="bottom"/>
          </w:tcPr>
          <w:p w14:paraId="39EFFC67" w14:textId="77777777" w:rsidR="004E7BB4" w:rsidRPr="004E7BB4" w:rsidRDefault="004E7BB4" w:rsidP="00E91CD3">
            <w:pPr>
              <w:spacing w:after="0" w:line="240" w:lineRule="auto"/>
              <w:ind w:firstLine="59"/>
              <w:rPr>
                <w:rFonts w:ascii="Arial" w:hAnsi="Arial" w:cs="Arial"/>
                <w:b/>
                <w:color w:val="FFFFFF"/>
                <w:sz w:val="16"/>
                <w:szCs w:val="16"/>
              </w:rPr>
            </w:pPr>
            <w:r w:rsidRPr="004E7BB4">
              <w:rPr>
                <w:rFonts w:ascii="Arial" w:hAnsi="Arial" w:cs="Arial"/>
                <w:b/>
                <w:color w:val="FFFFFF"/>
                <w:sz w:val="16"/>
                <w:szCs w:val="16"/>
              </w:rPr>
              <w:t>Company A total</w:t>
            </w:r>
          </w:p>
        </w:tc>
        <w:tc>
          <w:tcPr>
            <w:tcW w:w="1660" w:type="dxa"/>
            <w:noWrap/>
            <w:vAlign w:val="center"/>
          </w:tcPr>
          <w:p w14:paraId="46B2BB42"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51C6A386"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4C7C2FA2"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533C3F87"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495E0A8A"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200</w:t>
            </w:r>
          </w:p>
        </w:tc>
        <w:tc>
          <w:tcPr>
            <w:tcW w:w="1168" w:type="dxa"/>
            <w:noWrap/>
            <w:vAlign w:val="center"/>
          </w:tcPr>
          <w:p w14:paraId="37C72A92"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200</w:t>
            </w:r>
          </w:p>
        </w:tc>
      </w:tr>
      <w:tr w:rsidR="004E7BB4" w:rsidRPr="004E7BB4" w14:paraId="7EAFCF36" w14:textId="77777777" w:rsidTr="00921BEC">
        <w:trPr>
          <w:trHeight w:val="20"/>
        </w:trPr>
        <w:tc>
          <w:tcPr>
            <w:tcW w:w="2576" w:type="dxa"/>
            <w:shd w:val="clear" w:color="auto" w:fill="00709E"/>
            <w:noWrap/>
            <w:vAlign w:val="bottom"/>
          </w:tcPr>
          <w:p w14:paraId="4B2BA581"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B</w:t>
            </w:r>
          </w:p>
        </w:tc>
        <w:tc>
          <w:tcPr>
            <w:tcW w:w="1660" w:type="dxa"/>
            <w:noWrap/>
            <w:vAlign w:val="center"/>
          </w:tcPr>
          <w:p w14:paraId="64791729"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Ordinary shares</w:t>
            </w:r>
          </w:p>
        </w:tc>
        <w:tc>
          <w:tcPr>
            <w:tcW w:w="1023" w:type="dxa"/>
            <w:noWrap/>
            <w:vAlign w:val="center"/>
          </w:tcPr>
          <w:p w14:paraId="147A5CC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300</w:t>
            </w:r>
          </w:p>
        </w:tc>
        <w:tc>
          <w:tcPr>
            <w:tcW w:w="729" w:type="dxa"/>
            <w:noWrap/>
            <w:vAlign w:val="center"/>
          </w:tcPr>
          <w:p w14:paraId="35472DAB"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w:t>
            </w:r>
          </w:p>
        </w:tc>
        <w:tc>
          <w:tcPr>
            <w:tcW w:w="1168" w:type="dxa"/>
            <w:noWrap/>
            <w:vAlign w:val="center"/>
          </w:tcPr>
          <w:p w14:paraId="06AFC301"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600</w:t>
            </w:r>
          </w:p>
        </w:tc>
        <w:tc>
          <w:tcPr>
            <w:tcW w:w="1315" w:type="dxa"/>
            <w:noWrap/>
            <w:vAlign w:val="center"/>
          </w:tcPr>
          <w:p w14:paraId="1FD8B496"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Included</w:t>
            </w:r>
          </w:p>
        </w:tc>
        <w:tc>
          <w:tcPr>
            <w:tcW w:w="1168" w:type="dxa"/>
            <w:noWrap/>
            <w:vAlign w:val="center"/>
          </w:tcPr>
          <w:p w14:paraId="5794B34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6B38CAA2" w14:textId="77777777" w:rsidTr="00921BEC">
        <w:trPr>
          <w:trHeight w:val="20"/>
        </w:trPr>
        <w:tc>
          <w:tcPr>
            <w:tcW w:w="2576" w:type="dxa"/>
            <w:shd w:val="clear" w:color="auto" w:fill="00709E"/>
            <w:noWrap/>
            <w:vAlign w:val="bottom"/>
          </w:tcPr>
          <w:p w14:paraId="39AD51F0" w14:textId="77777777" w:rsidR="004E7BB4" w:rsidRPr="004E7BB4" w:rsidRDefault="004E7BB4" w:rsidP="00E91CD3">
            <w:pPr>
              <w:spacing w:after="0" w:line="240" w:lineRule="auto"/>
              <w:ind w:firstLine="59"/>
              <w:rPr>
                <w:rFonts w:ascii="Arial" w:hAnsi="Arial" w:cs="Arial"/>
                <w:b/>
                <w:color w:val="FFFFFF"/>
                <w:sz w:val="16"/>
                <w:szCs w:val="16"/>
              </w:rPr>
            </w:pPr>
            <w:r w:rsidRPr="004E7BB4">
              <w:rPr>
                <w:rFonts w:ascii="Arial" w:hAnsi="Arial" w:cs="Arial"/>
                <w:b/>
                <w:color w:val="FFFFFF"/>
                <w:sz w:val="16"/>
                <w:szCs w:val="16"/>
              </w:rPr>
              <w:t>Company B total</w:t>
            </w:r>
          </w:p>
        </w:tc>
        <w:tc>
          <w:tcPr>
            <w:tcW w:w="1660" w:type="dxa"/>
            <w:noWrap/>
            <w:vAlign w:val="center"/>
          </w:tcPr>
          <w:p w14:paraId="492D3FD3"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67F6611C"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71F858BE"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5F716E9A"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1DACF44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600</w:t>
            </w:r>
          </w:p>
        </w:tc>
        <w:tc>
          <w:tcPr>
            <w:tcW w:w="1168" w:type="dxa"/>
            <w:noWrap/>
            <w:vAlign w:val="center"/>
          </w:tcPr>
          <w:p w14:paraId="0F23CB3E"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600</w:t>
            </w:r>
          </w:p>
        </w:tc>
      </w:tr>
      <w:tr w:rsidR="004E7BB4" w:rsidRPr="004E7BB4" w14:paraId="0BA3439D" w14:textId="77777777" w:rsidTr="00921BEC">
        <w:trPr>
          <w:trHeight w:val="20"/>
        </w:trPr>
        <w:tc>
          <w:tcPr>
            <w:tcW w:w="2576" w:type="dxa"/>
            <w:shd w:val="clear" w:color="auto" w:fill="00709E"/>
            <w:noWrap/>
            <w:vAlign w:val="bottom"/>
          </w:tcPr>
          <w:p w14:paraId="7CC2A322"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C</w:t>
            </w:r>
          </w:p>
        </w:tc>
        <w:tc>
          <w:tcPr>
            <w:tcW w:w="1660" w:type="dxa"/>
            <w:noWrap/>
            <w:vAlign w:val="center"/>
          </w:tcPr>
          <w:p w14:paraId="51F939F9"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Preference shares</w:t>
            </w:r>
          </w:p>
        </w:tc>
        <w:tc>
          <w:tcPr>
            <w:tcW w:w="1023" w:type="dxa"/>
            <w:noWrap/>
            <w:vAlign w:val="center"/>
          </w:tcPr>
          <w:p w14:paraId="6131F194"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150</w:t>
            </w:r>
          </w:p>
        </w:tc>
        <w:tc>
          <w:tcPr>
            <w:tcW w:w="729" w:type="dxa"/>
            <w:noWrap/>
            <w:vAlign w:val="center"/>
          </w:tcPr>
          <w:p w14:paraId="540D98BA"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w:t>
            </w:r>
          </w:p>
        </w:tc>
        <w:tc>
          <w:tcPr>
            <w:tcW w:w="1168" w:type="dxa"/>
            <w:noWrap/>
            <w:vAlign w:val="center"/>
          </w:tcPr>
          <w:p w14:paraId="28A8E8D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150</w:t>
            </w:r>
          </w:p>
        </w:tc>
        <w:tc>
          <w:tcPr>
            <w:tcW w:w="1315" w:type="dxa"/>
            <w:noWrap/>
            <w:vAlign w:val="center"/>
          </w:tcPr>
          <w:p w14:paraId="72FA698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Included</w:t>
            </w:r>
          </w:p>
        </w:tc>
        <w:tc>
          <w:tcPr>
            <w:tcW w:w="1168" w:type="dxa"/>
            <w:noWrap/>
            <w:vAlign w:val="center"/>
          </w:tcPr>
          <w:p w14:paraId="0BB075C8"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2C38BA4C" w14:textId="77777777" w:rsidTr="00921BEC">
        <w:trPr>
          <w:trHeight w:val="20"/>
        </w:trPr>
        <w:tc>
          <w:tcPr>
            <w:tcW w:w="2576" w:type="dxa"/>
            <w:shd w:val="clear" w:color="auto" w:fill="00709E"/>
            <w:noWrap/>
            <w:vAlign w:val="bottom"/>
          </w:tcPr>
          <w:p w14:paraId="11659C3B" w14:textId="77777777" w:rsidR="004E7BB4" w:rsidRPr="004E7BB4" w:rsidRDefault="004E7BB4" w:rsidP="00E91CD3">
            <w:pPr>
              <w:spacing w:after="0" w:line="240" w:lineRule="auto"/>
              <w:ind w:firstLine="59"/>
              <w:rPr>
                <w:rFonts w:ascii="Arial" w:hAnsi="Arial" w:cs="Arial"/>
                <w:b/>
                <w:color w:val="FFFFFF"/>
                <w:sz w:val="16"/>
                <w:szCs w:val="16"/>
              </w:rPr>
            </w:pPr>
            <w:r w:rsidRPr="004E7BB4">
              <w:rPr>
                <w:rFonts w:ascii="Arial" w:hAnsi="Arial" w:cs="Arial"/>
                <w:b/>
                <w:color w:val="FFFFFF"/>
                <w:sz w:val="16"/>
                <w:szCs w:val="16"/>
              </w:rPr>
              <w:t>Company C total</w:t>
            </w:r>
          </w:p>
        </w:tc>
        <w:tc>
          <w:tcPr>
            <w:tcW w:w="1660" w:type="dxa"/>
            <w:noWrap/>
            <w:vAlign w:val="center"/>
          </w:tcPr>
          <w:p w14:paraId="02272DC6"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3413AA18"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71713827"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1F84346B"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2DDBB747"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150</w:t>
            </w:r>
          </w:p>
        </w:tc>
        <w:tc>
          <w:tcPr>
            <w:tcW w:w="1168" w:type="dxa"/>
            <w:noWrap/>
            <w:vAlign w:val="center"/>
          </w:tcPr>
          <w:p w14:paraId="6112E06E"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150</w:t>
            </w:r>
          </w:p>
        </w:tc>
      </w:tr>
      <w:tr w:rsidR="004E7BB4" w:rsidRPr="004E7BB4" w14:paraId="30B1C201" w14:textId="77777777" w:rsidTr="00921BEC">
        <w:trPr>
          <w:trHeight w:val="20"/>
        </w:trPr>
        <w:tc>
          <w:tcPr>
            <w:tcW w:w="2576" w:type="dxa"/>
            <w:shd w:val="clear" w:color="auto" w:fill="00709E"/>
            <w:noWrap/>
            <w:vAlign w:val="bottom"/>
          </w:tcPr>
          <w:p w14:paraId="174FC363"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D</w:t>
            </w:r>
            <w:r w:rsidRPr="004E7BB4">
              <w:rPr>
                <w:rFonts w:ascii="Arial" w:hAnsi="Arial" w:cs="Arial"/>
                <w:color w:val="FFFFFF"/>
                <w:sz w:val="16"/>
                <w:szCs w:val="16"/>
              </w:rPr>
              <w:br/>
              <w:t xml:space="preserve"> (foreign company exclusively quoted)</w:t>
            </w:r>
          </w:p>
        </w:tc>
        <w:tc>
          <w:tcPr>
            <w:tcW w:w="1660" w:type="dxa"/>
            <w:noWrap/>
            <w:vAlign w:val="center"/>
          </w:tcPr>
          <w:p w14:paraId="6A077545"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Ordinary shares</w:t>
            </w:r>
          </w:p>
        </w:tc>
        <w:tc>
          <w:tcPr>
            <w:tcW w:w="1023" w:type="dxa"/>
            <w:noWrap/>
            <w:vAlign w:val="center"/>
          </w:tcPr>
          <w:p w14:paraId="3B2ABCC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100</w:t>
            </w:r>
          </w:p>
        </w:tc>
        <w:tc>
          <w:tcPr>
            <w:tcW w:w="729" w:type="dxa"/>
            <w:noWrap/>
            <w:vAlign w:val="center"/>
          </w:tcPr>
          <w:p w14:paraId="7198B033"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4</w:t>
            </w:r>
          </w:p>
        </w:tc>
        <w:tc>
          <w:tcPr>
            <w:tcW w:w="1168" w:type="dxa"/>
            <w:noWrap/>
            <w:vAlign w:val="center"/>
          </w:tcPr>
          <w:p w14:paraId="09AC7E2E"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400</w:t>
            </w:r>
          </w:p>
        </w:tc>
        <w:tc>
          <w:tcPr>
            <w:tcW w:w="1315" w:type="dxa"/>
            <w:noWrap/>
            <w:vAlign w:val="center"/>
          </w:tcPr>
          <w:p w14:paraId="397162A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xml:space="preserve">Included </w:t>
            </w:r>
          </w:p>
        </w:tc>
        <w:tc>
          <w:tcPr>
            <w:tcW w:w="1168" w:type="dxa"/>
            <w:noWrap/>
            <w:vAlign w:val="center"/>
          </w:tcPr>
          <w:p w14:paraId="4DE3A159"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66A8F2EE" w14:textId="77777777" w:rsidTr="00921BEC">
        <w:trPr>
          <w:trHeight w:val="20"/>
        </w:trPr>
        <w:tc>
          <w:tcPr>
            <w:tcW w:w="2576" w:type="dxa"/>
            <w:shd w:val="clear" w:color="auto" w:fill="00709E"/>
            <w:noWrap/>
            <w:vAlign w:val="bottom"/>
          </w:tcPr>
          <w:p w14:paraId="2E6C5EB4" w14:textId="77777777" w:rsidR="004E7BB4" w:rsidRPr="004E7BB4" w:rsidRDefault="004E7BB4" w:rsidP="00E91CD3">
            <w:pPr>
              <w:spacing w:after="0" w:line="240" w:lineRule="auto"/>
              <w:rPr>
                <w:rFonts w:ascii="Arial" w:hAnsi="Arial" w:cs="Arial"/>
                <w:b/>
                <w:color w:val="FFFFFF"/>
                <w:sz w:val="16"/>
                <w:szCs w:val="16"/>
              </w:rPr>
            </w:pPr>
            <w:r w:rsidRPr="004E7BB4">
              <w:rPr>
                <w:rFonts w:ascii="Arial" w:hAnsi="Arial" w:cs="Arial"/>
                <w:b/>
                <w:color w:val="FFFFFF"/>
                <w:sz w:val="16"/>
                <w:szCs w:val="16"/>
              </w:rPr>
              <w:t>Company D total</w:t>
            </w:r>
          </w:p>
        </w:tc>
        <w:tc>
          <w:tcPr>
            <w:tcW w:w="1660" w:type="dxa"/>
            <w:noWrap/>
            <w:vAlign w:val="center"/>
          </w:tcPr>
          <w:p w14:paraId="0E79FE07"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791315D3"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6C394433"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6BFA3ECD"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7A483C6D"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400</w:t>
            </w:r>
          </w:p>
        </w:tc>
        <w:tc>
          <w:tcPr>
            <w:tcW w:w="1168" w:type="dxa"/>
            <w:noWrap/>
            <w:vAlign w:val="center"/>
          </w:tcPr>
          <w:p w14:paraId="40430879"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sz w:val="16"/>
                <w:szCs w:val="16"/>
              </w:rPr>
              <w:t xml:space="preserve"> </w:t>
            </w:r>
            <w:r w:rsidRPr="004E7BB4">
              <w:rPr>
                <w:rFonts w:ascii="Arial" w:hAnsi="Arial" w:cs="Arial"/>
                <w:b/>
                <w:bCs/>
                <w:sz w:val="16"/>
                <w:szCs w:val="16"/>
              </w:rPr>
              <w:t>400</w:t>
            </w:r>
          </w:p>
        </w:tc>
      </w:tr>
      <w:tr w:rsidR="004E7BB4" w:rsidRPr="004E7BB4" w14:paraId="6615BDDD" w14:textId="77777777" w:rsidTr="00921BEC">
        <w:trPr>
          <w:trHeight w:val="20"/>
        </w:trPr>
        <w:tc>
          <w:tcPr>
            <w:tcW w:w="2576" w:type="dxa"/>
            <w:shd w:val="clear" w:color="auto" w:fill="00709E"/>
            <w:noWrap/>
            <w:vAlign w:val="bottom"/>
          </w:tcPr>
          <w:p w14:paraId="7A7C80A7" w14:textId="77777777" w:rsidR="004E7BB4" w:rsidRPr="004E7BB4" w:rsidRDefault="004E7BB4" w:rsidP="00E91CD3">
            <w:pPr>
              <w:spacing w:after="0" w:line="240" w:lineRule="auto"/>
              <w:rPr>
                <w:rFonts w:ascii="Arial" w:hAnsi="Arial" w:cs="Arial"/>
                <w:b/>
                <w:color w:val="FFFFFF"/>
                <w:sz w:val="16"/>
                <w:szCs w:val="16"/>
              </w:rPr>
            </w:pPr>
            <w:r w:rsidRPr="004E7BB4">
              <w:rPr>
                <w:rFonts w:ascii="Arial" w:hAnsi="Arial" w:cs="Arial"/>
                <w:b/>
                <w:color w:val="FFFFFF"/>
                <w:sz w:val="16"/>
                <w:szCs w:val="16"/>
              </w:rPr>
              <w:t>Total exchange market capitalisation</w:t>
            </w:r>
          </w:p>
        </w:tc>
        <w:tc>
          <w:tcPr>
            <w:tcW w:w="1660" w:type="dxa"/>
            <w:noWrap/>
            <w:vAlign w:val="center"/>
          </w:tcPr>
          <w:p w14:paraId="156091F6"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34CC579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1E4A2CA8"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1E9FDDDC"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760EF691"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37161AFA"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1 350</w:t>
            </w:r>
          </w:p>
        </w:tc>
      </w:tr>
    </w:tbl>
    <w:p w14:paraId="254ABF30" w14:textId="77777777" w:rsidR="00DD745B" w:rsidRPr="00490F9F"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4360D399" w14:textId="77777777" w:rsidR="003B39E5" w:rsidRDefault="003B39E5">
      <w:pPr>
        <w:rPr>
          <w:rFonts w:ascii="Arial" w:hAnsi="Arial" w:cs="Arial"/>
          <w:b/>
          <w:bCs/>
          <w:snapToGrid w:val="0"/>
          <w:lang w:eastAsia="fr-FR"/>
        </w:rPr>
      </w:pPr>
      <w:r>
        <w:rPr>
          <w:rFonts w:ascii="Arial" w:hAnsi="Arial" w:cs="Arial"/>
          <w:b/>
          <w:bCs/>
          <w:snapToGrid w:val="0"/>
          <w:lang w:eastAsia="fr-FR"/>
        </w:rPr>
        <w:br w:type="page"/>
      </w:r>
    </w:p>
    <w:p w14:paraId="21F55776" w14:textId="2EF335B9" w:rsidR="00697E05" w:rsidRPr="0066060D" w:rsidRDefault="00556B21" w:rsidP="0066060D">
      <w:pPr>
        <w:spacing w:after="0"/>
        <w:rPr>
          <w:rFonts w:ascii="Arial" w:hAnsi="Arial" w:cs="Arial"/>
          <w:b/>
          <w:bCs/>
          <w:snapToGrid w:val="0"/>
          <w:lang w:eastAsia="fr-FR"/>
        </w:rPr>
      </w:pPr>
      <w:r w:rsidRPr="0066060D">
        <w:rPr>
          <w:rFonts w:ascii="Arial" w:hAnsi="Arial" w:cs="Arial"/>
          <w:b/>
          <w:bCs/>
          <w:snapToGrid w:val="0"/>
          <w:lang w:eastAsia="fr-FR"/>
        </w:rPr>
        <w:lastRenderedPageBreak/>
        <w:t>Indicator</w:t>
      </w:r>
      <w:r w:rsidR="00A0146E" w:rsidRPr="0066060D">
        <w:rPr>
          <w:rFonts w:ascii="Arial" w:hAnsi="Arial" w:cs="Arial"/>
          <w:b/>
          <w:bCs/>
          <w:snapToGrid w:val="0"/>
          <w:lang w:eastAsia="fr-FR"/>
        </w:rPr>
        <w:t xml:space="preserve">: </w:t>
      </w:r>
      <w:r w:rsidR="00FF22A0" w:rsidRPr="0066060D">
        <w:rPr>
          <w:rFonts w:ascii="Arial" w:hAnsi="Arial" w:cs="Arial"/>
          <w:b/>
          <w:bCs/>
          <w:snapToGrid w:val="0"/>
          <w:lang w:eastAsia="fr-FR"/>
        </w:rPr>
        <w:t xml:space="preserve">Market capitalisation of </w:t>
      </w:r>
      <w:r w:rsidR="00D74E41" w:rsidRPr="0066060D">
        <w:rPr>
          <w:rFonts w:ascii="Arial" w:hAnsi="Arial" w:cs="Arial"/>
          <w:b/>
          <w:bCs/>
          <w:snapToGrid w:val="0"/>
          <w:lang w:eastAsia="fr-FR"/>
        </w:rPr>
        <w:t xml:space="preserve">new listings </w:t>
      </w:r>
    </w:p>
    <w:p w14:paraId="12E926B5" w14:textId="0F530AFD" w:rsidR="00FF22A0" w:rsidRPr="0066060D" w:rsidRDefault="00697E05" w:rsidP="0066060D">
      <w:pPr>
        <w:rPr>
          <w:rFonts w:ascii="Arial" w:hAnsi="Arial" w:cs="Arial"/>
          <w:b/>
          <w:bCs/>
          <w:sz w:val="20"/>
        </w:rPr>
      </w:pPr>
      <w:r w:rsidRPr="0066060D">
        <w:rPr>
          <w:rFonts w:ascii="Arial" w:hAnsi="Arial" w:cs="Arial"/>
          <w:b/>
          <w:bCs/>
          <w:snapToGrid w:val="0"/>
          <w:lang w:eastAsia="fr-FR"/>
        </w:rPr>
        <w:t>Indicator:</w:t>
      </w:r>
      <w:r w:rsidR="0088040D" w:rsidRPr="0066060D">
        <w:rPr>
          <w:rFonts w:ascii="Arial" w:hAnsi="Arial" w:cs="Arial"/>
          <w:b/>
          <w:bCs/>
          <w:snapToGrid w:val="0"/>
          <w:lang w:eastAsia="fr-FR"/>
        </w:rPr>
        <w:t xml:space="preserve"> </w:t>
      </w:r>
      <w:r w:rsidR="00D74E41" w:rsidRPr="0066060D">
        <w:rPr>
          <w:rFonts w:ascii="Arial" w:hAnsi="Arial" w:cs="Arial"/>
          <w:b/>
          <w:bCs/>
          <w:snapToGrid w:val="0"/>
          <w:lang w:eastAsia="fr-FR"/>
        </w:rPr>
        <w:t xml:space="preserve">Market capitalisation of </w:t>
      </w:r>
      <w:proofErr w:type="spellStart"/>
      <w:r w:rsidR="00D74E41" w:rsidRPr="0066060D">
        <w:rPr>
          <w:rFonts w:ascii="Arial" w:hAnsi="Arial" w:cs="Arial"/>
          <w:b/>
          <w:bCs/>
          <w:snapToGrid w:val="0"/>
          <w:lang w:eastAsia="fr-FR"/>
        </w:rPr>
        <w:t>delistings</w:t>
      </w:r>
      <w:proofErr w:type="spellEnd"/>
      <w:r w:rsidR="00FF22A0" w:rsidRPr="0066060D">
        <w:rPr>
          <w:rFonts w:ascii="Arial" w:hAnsi="Arial" w:cs="Arial"/>
          <w:b/>
          <w:bCs/>
          <w:sz w:val="20"/>
        </w:rPr>
        <w:t xml:space="preserve"> </w:t>
      </w:r>
    </w:p>
    <w:p w14:paraId="0BC91F7E" w14:textId="77777777" w:rsidR="00BF3E90" w:rsidRDefault="00BF3E90" w:rsidP="00E91CD3">
      <w:pPr>
        <w:suppressAutoHyphens/>
        <w:spacing w:after="0" w:line="240" w:lineRule="auto"/>
        <w:jc w:val="both"/>
        <w:rPr>
          <w:rFonts w:ascii="Arial" w:hAnsi="Arial" w:cs="Arial"/>
          <w:spacing w:val="-3"/>
          <w:sz w:val="20"/>
        </w:rPr>
      </w:pPr>
    </w:p>
    <w:p w14:paraId="6EC8AA6A" w14:textId="0B9FC805" w:rsidR="00FF22A0" w:rsidRPr="00490F9F" w:rsidRDefault="00FF22A0"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market capitalisation of </w:t>
      </w:r>
      <w:r w:rsidR="00D74E41">
        <w:rPr>
          <w:rFonts w:ascii="Arial" w:hAnsi="Arial" w:cs="Arial"/>
          <w:spacing w:val="-3"/>
          <w:sz w:val="20"/>
        </w:rPr>
        <w:t xml:space="preserve">new listings </w:t>
      </w:r>
      <w:r w:rsidRPr="00490F9F">
        <w:rPr>
          <w:rFonts w:ascii="Arial" w:hAnsi="Arial" w:cs="Arial"/>
          <w:spacing w:val="-3"/>
          <w:sz w:val="20"/>
        </w:rPr>
        <w:t xml:space="preserve">is the total number of </w:t>
      </w:r>
      <w:r w:rsidR="00605A55">
        <w:rPr>
          <w:rFonts w:ascii="Arial" w:hAnsi="Arial" w:cs="Arial"/>
          <w:spacing w:val="-3"/>
          <w:sz w:val="20"/>
        </w:rPr>
        <w:t xml:space="preserve">newly listed, </w:t>
      </w:r>
      <w:r w:rsidRPr="00490F9F">
        <w:rPr>
          <w:rFonts w:ascii="Arial" w:hAnsi="Arial" w:cs="Arial"/>
          <w:spacing w:val="-3"/>
          <w:sz w:val="20"/>
        </w:rPr>
        <w:t>issued</w:t>
      </w:r>
      <w:r w:rsidR="00605A55">
        <w:rPr>
          <w:rFonts w:ascii="Arial" w:hAnsi="Arial" w:cs="Arial"/>
          <w:spacing w:val="-3"/>
          <w:sz w:val="20"/>
        </w:rPr>
        <w:t xml:space="preserve"> shares</w:t>
      </w:r>
      <w:r w:rsidRPr="00490F9F">
        <w:rPr>
          <w:rFonts w:ascii="Arial" w:hAnsi="Arial" w:cs="Arial"/>
          <w:spacing w:val="-3"/>
          <w:sz w:val="20"/>
        </w:rPr>
        <w:t xml:space="preserve"> multiplied by their value on the first day of quotation.</w:t>
      </w:r>
    </w:p>
    <w:p w14:paraId="033D83A4" w14:textId="77777777" w:rsidR="00BF3E90" w:rsidRDefault="00BF3E90" w:rsidP="00E91CD3">
      <w:pPr>
        <w:suppressAutoHyphens/>
        <w:spacing w:after="0" w:line="240" w:lineRule="auto"/>
        <w:jc w:val="both"/>
        <w:rPr>
          <w:rFonts w:ascii="Arial" w:hAnsi="Arial" w:cs="Arial"/>
          <w:spacing w:val="-3"/>
          <w:sz w:val="20"/>
        </w:rPr>
      </w:pPr>
    </w:p>
    <w:p w14:paraId="534EBBF2" w14:textId="3DC9D6AD" w:rsidR="00FF22A0" w:rsidRPr="00FF22A0" w:rsidRDefault="00FF22A0"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market capitalisation of </w:t>
      </w:r>
      <w:proofErr w:type="spellStart"/>
      <w:r w:rsidR="000016E1">
        <w:rPr>
          <w:rFonts w:ascii="Arial" w:hAnsi="Arial" w:cs="Arial"/>
          <w:spacing w:val="-3"/>
          <w:sz w:val="20"/>
        </w:rPr>
        <w:t>delistings</w:t>
      </w:r>
      <w:proofErr w:type="spellEnd"/>
      <w:r w:rsidR="000016E1">
        <w:rPr>
          <w:rFonts w:ascii="Arial" w:hAnsi="Arial" w:cs="Arial"/>
          <w:spacing w:val="-3"/>
          <w:sz w:val="20"/>
        </w:rPr>
        <w:t xml:space="preserve"> </w:t>
      </w:r>
      <w:r w:rsidRPr="00490F9F">
        <w:rPr>
          <w:rFonts w:ascii="Arial" w:hAnsi="Arial" w:cs="Arial"/>
          <w:spacing w:val="-3"/>
          <w:sz w:val="20"/>
        </w:rPr>
        <w:t xml:space="preserve">is the total number of </w:t>
      </w:r>
      <w:r w:rsidR="00857577">
        <w:rPr>
          <w:rFonts w:ascii="Arial" w:hAnsi="Arial" w:cs="Arial"/>
          <w:spacing w:val="-3"/>
          <w:sz w:val="20"/>
        </w:rPr>
        <w:t xml:space="preserve">issued </w:t>
      </w:r>
      <w:r w:rsidRPr="00490F9F">
        <w:rPr>
          <w:rFonts w:ascii="Arial" w:hAnsi="Arial" w:cs="Arial"/>
          <w:spacing w:val="-3"/>
          <w:sz w:val="20"/>
        </w:rPr>
        <w:t>shares multiplied by their value on the last day of quotation.</w:t>
      </w:r>
    </w:p>
    <w:p w14:paraId="338DE098" w14:textId="77777777" w:rsidR="00BF3E90" w:rsidRDefault="00BF3E90" w:rsidP="00E91CD3">
      <w:pPr>
        <w:suppressAutoHyphens/>
        <w:spacing w:after="0" w:line="240" w:lineRule="auto"/>
        <w:jc w:val="both"/>
        <w:rPr>
          <w:rFonts w:ascii="Arial" w:hAnsi="Arial" w:cs="Arial"/>
          <w:bCs/>
          <w:i/>
          <w:sz w:val="20"/>
          <w:u w:val="single"/>
        </w:rPr>
      </w:pPr>
    </w:p>
    <w:p w14:paraId="579EB236" w14:textId="69EFE76B" w:rsidR="00FF22A0" w:rsidRPr="00490F9F" w:rsidRDefault="00FF22A0"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 xml:space="preserve">Examples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202"/>
        <w:gridCol w:w="1788"/>
        <w:gridCol w:w="1516"/>
        <w:gridCol w:w="1104"/>
        <w:gridCol w:w="1240"/>
        <w:gridCol w:w="1789"/>
      </w:tblGrid>
      <w:tr w:rsidR="00FF22A0" w:rsidRPr="00490F9F" w14:paraId="11E7FEAE" w14:textId="77777777" w:rsidTr="00857577">
        <w:trPr>
          <w:trHeight w:val="20"/>
        </w:trPr>
        <w:tc>
          <w:tcPr>
            <w:tcW w:w="2202" w:type="dxa"/>
            <w:shd w:val="clear" w:color="auto" w:fill="00709E"/>
            <w:noWrap/>
            <w:vAlign w:val="center"/>
          </w:tcPr>
          <w:p w14:paraId="7E279FF3" w14:textId="77777777" w:rsidR="00FF22A0" w:rsidRPr="00490F9F" w:rsidRDefault="00FF22A0"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Company</w:t>
            </w:r>
          </w:p>
        </w:tc>
        <w:tc>
          <w:tcPr>
            <w:tcW w:w="1788" w:type="dxa"/>
            <w:shd w:val="clear" w:color="auto" w:fill="00709E"/>
            <w:noWrap/>
            <w:vAlign w:val="center"/>
          </w:tcPr>
          <w:p w14:paraId="5130216A"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 class</w:t>
            </w:r>
          </w:p>
        </w:tc>
        <w:tc>
          <w:tcPr>
            <w:tcW w:w="1516" w:type="dxa"/>
            <w:shd w:val="clear" w:color="auto" w:fill="00709E"/>
            <w:noWrap/>
            <w:vAlign w:val="center"/>
          </w:tcPr>
          <w:p w14:paraId="3E7ECE54"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newly listed shares</w:t>
            </w:r>
          </w:p>
        </w:tc>
        <w:tc>
          <w:tcPr>
            <w:tcW w:w="1104" w:type="dxa"/>
            <w:shd w:val="clear" w:color="auto" w:fill="00709E"/>
            <w:noWrap/>
            <w:vAlign w:val="center"/>
          </w:tcPr>
          <w:p w14:paraId="21BE38CB"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Issuing price</w:t>
            </w:r>
          </w:p>
        </w:tc>
        <w:tc>
          <w:tcPr>
            <w:tcW w:w="1240" w:type="dxa"/>
            <w:shd w:val="clear" w:color="auto" w:fill="00709E"/>
            <w:noWrap/>
            <w:vAlign w:val="center"/>
          </w:tcPr>
          <w:p w14:paraId="19959A24"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Company market cap</w:t>
            </w:r>
          </w:p>
        </w:tc>
        <w:tc>
          <w:tcPr>
            <w:tcW w:w="1789" w:type="dxa"/>
            <w:shd w:val="clear" w:color="auto" w:fill="00709E"/>
            <w:noWrap/>
            <w:vAlign w:val="center"/>
          </w:tcPr>
          <w:p w14:paraId="1B471B1E"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Newly listed market cap on exchange</w:t>
            </w:r>
          </w:p>
        </w:tc>
      </w:tr>
      <w:tr w:rsidR="00FF22A0" w:rsidRPr="00490F9F" w14:paraId="6C30991F" w14:textId="77777777" w:rsidTr="00857577">
        <w:trPr>
          <w:trHeight w:val="20"/>
        </w:trPr>
        <w:tc>
          <w:tcPr>
            <w:tcW w:w="2202" w:type="dxa"/>
            <w:shd w:val="clear" w:color="auto" w:fill="00709E"/>
            <w:noWrap/>
            <w:vAlign w:val="bottom"/>
          </w:tcPr>
          <w:p w14:paraId="0C221635"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788" w:type="dxa"/>
            <w:noWrap/>
            <w:vAlign w:val="bottom"/>
          </w:tcPr>
          <w:p w14:paraId="12BA9D30"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516" w:type="dxa"/>
            <w:noWrap/>
            <w:vAlign w:val="center"/>
          </w:tcPr>
          <w:p w14:paraId="1C2CFB2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104" w:type="dxa"/>
            <w:noWrap/>
            <w:vAlign w:val="center"/>
          </w:tcPr>
          <w:p w14:paraId="04ACC4C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240" w:type="dxa"/>
            <w:noWrap/>
            <w:vAlign w:val="center"/>
          </w:tcPr>
          <w:p w14:paraId="7306523F"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789" w:type="dxa"/>
            <w:noWrap/>
            <w:vAlign w:val="center"/>
          </w:tcPr>
          <w:p w14:paraId="548E250F"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41B81A53" w14:textId="77777777" w:rsidTr="00857577">
        <w:trPr>
          <w:trHeight w:val="20"/>
        </w:trPr>
        <w:tc>
          <w:tcPr>
            <w:tcW w:w="2202" w:type="dxa"/>
            <w:shd w:val="clear" w:color="auto" w:fill="00709E"/>
            <w:noWrap/>
            <w:vAlign w:val="bottom"/>
          </w:tcPr>
          <w:p w14:paraId="1F6F30F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A total</w:t>
            </w:r>
          </w:p>
        </w:tc>
        <w:tc>
          <w:tcPr>
            <w:tcW w:w="1788" w:type="dxa"/>
            <w:noWrap/>
            <w:vAlign w:val="bottom"/>
          </w:tcPr>
          <w:p w14:paraId="07B5A95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516" w:type="dxa"/>
            <w:noWrap/>
            <w:vAlign w:val="center"/>
          </w:tcPr>
          <w:p w14:paraId="5F2DC731"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04" w:type="dxa"/>
            <w:noWrap/>
            <w:vAlign w:val="center"/>
          </w:tcPr>
          <w:p w14:paraId="7A3F8E2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240" w:type="dxa"/>
            <w:noWrap/>
            <w:vAlign w:val="center"/>
          </w:tcPr>
          <w:p w14:paraId="733E12FC" w14:textId="77777777" w:rsidR="00FF22A0" w:rsidRPr="00490F9F" w:rsidRDefault="00FF22A0" w:rsidP="00E91CD3">
            <w:pPr>
              <w:spacing w:after="0" w:line="240" w:lineRule="auto"/>
              <w:jc w:val="right"/>
              <w:rPr>
                <w:rFonts w:ascii="Arial" w:hAnsi="Arial" w:cs="Arial"/>
                <w:sz w:val="16"/>
                <w:szCs w:val="16"/>
              </w:rPr>
            </w:pPr>
          </w:p>
        </w:tc>
        <w:tc>
          <w:tcPr>
            <w:tcW w:w="1789" w:type="dxa"/>
            <w:noWrap/>
            <w:vAlign w:val="center"/>
          </w:tcPr>
          <w:p w14:paraId="2F6B480E"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200</w:t>
            </w:r>
          </w:p>
        </w:tc>
      </w:tr>
      <w:tr w:rsidR="00FF22A0" w:rsidRPr="00490F9F" w14:paraId="215C1E77" w14:textId="77777777" w:rsidTr="00857577">
        <w:trPr>
          <w:trHeight w:val="20"/>
        </w:trPr>
        <w:tc>
          <w:tcPr>
            <w:tcW w:w="2202" w:type="dxa"/>
            <w:shd w:val="clear" w:color="auto" w:fill="00709E"/>
            <w:noWrap/>
            <w:vAlign w:val="bottom"/>
          </w:tcPr>
          <w:p w14:paraId="4ED6C8CE"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788" w:type="dxa"/>
            <w:noWrap/>
            <w:vAlign w:val="bottom"/>
          </w:tcPr>
          <w:p w14:paraId="20E25AD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516" w:type="dxa"/>
            <w:noWrap/>
            <w:vAlign w:val="center"/>
          </w:tcPr>
          <w:p w14:paraId="26C3689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300</w:t>
            </w:r>
          </w:p>
        </w:tc>
        <w:tc>
          <w:tcPr>
            <w:tcW w:w="1104" w:type="dxa"/>
            <w:noWrap/>
            <w:vAlign w:val="center"/>
          </w:tcPr>
          <w:p w14:paraId="3190EA3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240" w:type="dxa"/>
            <w:noWrap/>
            <w:vAlign w:val="center"/>
          </w:tcPr>
          <w:p w14:paraId="1F76D72A"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600</w:t>
            </w:r>
          </w:p>
        </w:tc>
        <w:tc>
          <w:tcPr>
            <w:tcW w:w="1789" w:type="dxa"/>
            <w:noWrap/>
            <w:vAlign w:val="center"/>
          </w:tcPr>
          <w:p w14:paraId="2D293828"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5C4B0593" w14:textId="77777777" w:rsidTr="00857577">
        <w:trPr>
          <w:trHeight w:val="20"/>
        </w:trPr>
        <w:tc>
          <w:tcPr>
            <w:tcW w:w="2202" w:type="dxa"/>
            <w:shd w:val="clear" w:color="auto" w:fill="00709E"/>
            <w:noWrap/>
            <w:vAlign w:val="bottom"/>
          </w:tcPr>
          <w:p w14:paraId="66097D17"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B total</w:t>
            </w:r>
          </w:p>
        </w:tc>
        <w:tc>
          <w:tcPr>
            <w:tcW w:w="1788" w:type="dxa"/>
            <w:noWrap/>
            <w:vAlign w:val="bottom"/>
          </w:tcPr>
          <w:p w14:paraId="1510CE99"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516" w:type="dxa"/>
            <w:noWrap/>
            <w:vAlign w:val="center"/>
          </w:tcPr>
          <w:p w14:paraId="40D284FF"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04" w:type="dxa"/>
            <w:noWrap/>
            <w:vAlign w:val="center"/>
          </w:tcPr>
          <w:p w14:paraId="6744F410"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240" w:type="dxa"/>
            <w:noWrap/>
            <w:vAlign w:val="center"/>
          </w:tcPr>
          <w:p w14:paraId="5B540A50"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789" w:type="dxa"/>
            <w:noWrap/>
            <w:vAlign w:val="center"/>
          </w:tcPr>
          <w:p w14:paraId="421C8C9C"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600</w:t>
            </w:r>
          </w:p>
        </w:tc>
      </w:tr>
      <w:tr w:rsidR="00FF22A0" w:rsidRPr="00490F9F" w14:paraId="10B4CA89" w14:textId="77777777" w:rsidTr="00857577">
        <w:trPr>
          <w:trHeight w:val="20"/>
        </w:trPr>
        <w:tc>
          <w:tcPr>
            <w:tcW w:w="2202" w:type="dxa"/>
            <w:shd w:val="clear" w:color="auto" w:fill="00709E"/>
            <w:noWrap/>
            <w:vAlign w:val="bottom"/>
          </w:tcPr>
          <w:p w14:paraId="4521CE7D"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788" w:type="dxa"/>
            <w:noWrap/>
            <w:vAlign w:val="bottom"/>
          </w:tcPr>
          <w:p w14:paraId="3CFB7571"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516" w:type="dxa"/>
            <w:noWrap/>
            <w:vAlign w:val="center"/>
          </w:tcPr>
          <w:p w14:paraId="15D53656"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104" w:type="dxa"/>
            <w:noWrap/>
            <w:vAlign w:val="center"/>
          </w:tcPr>
          <w:p w14:paraId="2F924341"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240" w:type="dxa"/>
            <w:noWrap/>
            <w:vAlign w:val="center"/>
          </w:tcPr>
          <w:p w14:paraId="192AEF6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789" w:type="dxa"/>
            <w:noWrap/>
            <w:vAlign w:val="center"/>
          </w:tcPr>
          <w:p w14:paraId="1F300822"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265333BF" w14:textId="77777777" w:rsidTr="00857577">
        <w:trPr>
          <w:trHeight w:val="20"/>
        </w:trPr>
        <w:tc>
          <w:tcPr>
            <w:tcW w:w="2202" w:type="dxa"/>
            <w:shd w:val="clear" w:color="auto" w:fill="00709E"/>
            <w:noWrap/>
            <w:vAlign w:val="bottom"/>
          </w:tcPr>
          <w:p w14:paraId="02CA9681"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788" w:type="dxa"/>
            <w:noWrap/>
            <w:vAlign w:val="bottom"/>
          </w:tcPr>
          <w:p w14:paraId="30FC9733"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Preference shares</w:t>
            </w:r>
          </w:p>
        </w:tc>
        <w:tc>
          <w:tcPr>
            <w:tcW w:w="1516" w:type="dxa"/>
            <w:noWrap/>
            <w:vAlign w:val="center"/>
          </w:tcPr>
          <w:p w14:paraId="65414C2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50</w:t>
            </w:r>
          </w:p>
        </w:tc>
        <w:tc>
          <w:tcPr>
            <w:tcW w:w="1104" w:type="dxa"/>
            <w:noWrap/>
            <w:vAlign w:val="center"/>
          </w:tcPr>
          <w:p w14:paraId="15146A96"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240" w:type="dxa"/>
            <w:noWrap/>
            <w:vAlign w:val="center"/>
          </w:tcPr>
          <w:p w14:paraId="4B49C938"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50</w:t>
            </w:r>
          </w:p>
        </w:tc>
        <w:tc>
          <w:tcPr>
            <w:tcW w:w="1789" w:type="dxa"/>
            <w:noWrap/>
            <w:vAlign w:val="center"/>
          </w:tcPr>
          <w:p w14:paraId="68B9432E"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27978CDB" w14:textId="77777777" w:rsidTr="00857577">
        <w:trPr>
          <w:trHeight w:val="20"/>
        </w:trPr>
        <w:tc>
          <w:tcPr>
            <w:tcW w:w="2202" w:type="dxa"/>
            <w:shd w:val="clear" w:color="auto" w:fill="00709E"/>
            <w:noWrap/>
            <w:vAlign w:val="bottom"/>
          </w:tcPr>
          <w:p w14:paraId="60F4FFC6"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C total</w:t>
            </w:r>
          </w:p>
        </w:tc>
        <w:tc>
          <w:tcPr>
            <w:tcW w:w="1788" w:type="dxa"/>
            <w:noWrap/>
            <w:vAlign w:val="bottom"/>
          </w:tcPr>
          <w:p w14:paraId="3205438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516" w:type="dxa"/>
            <w:noWrap/>
            <w:vAlign w:val="center"/>
          </w:tcPr>
          <w:p w14:paraId="0EFC1112"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04" w:type="dxa"/>
            <w:noWrap/>
            <w:vAlign w:val="center"/>
          </w:tcPr>
          <w:p w14:paraId="7727AB83"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240" w:type="dxa"/>
            <w:noWrap/>
            <w:vAlign w:val="center"/>
          </w:tcPr>
          <w:p w14:paraId="47EBC7D6"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789" w:type="dxa"/>
            <w:noWrap/>
            <w:vAlign w:val="center"/>
          </w:tcPr>
          <w:p w14:paraId="3B5E3156"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150</w:t>
            </w:r>
          </w:p>
        </w:tc>
      </w:tr>
      <w:tr w:rsidR="00FF22A0" w:rsidRPr="00490F9F" w14:paraId="2B00A906" w14:textId="77777777" w:rsidTr="00857577">
        <w:trPr>
          <w:trHeight w:val="20"/>
        </w:trPr>
        <w:tc>
          <w:tcPr>
            <w:tcW w:w="2202" w:type="dxa"/>
            <w:shd w:val="clear" w:color="auto" w:fill="00709E"/>
            <w:noWrap/>
            <w:vAlign w:val="bottom"/>
          </w:tcPr>
          <w:p w14:paraId="7C03748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Total new exchange market capitalisation</w:t>
            </w:r>
          </w:p>
        </w:tc>
        <w:tc>
          <w:tcPr>
            <w:tcW w:w="1788" w:type="dxa"/>
            <w:noWrap/>
            <w:vAlign w:val="bottom"/>
          </w:tcPr>
          <w:p w14:paraId="2B99C651" w14:textId="77777777" w:rsidR="00FF22A0" w:rsidRPr="00490F9F" w:rsidRDefault="00FF22A0" w:rsidP="00E91CD3">
            <w:pPr>
              <w:spacing w:after="0" w:line="240" w:lineRule="auto"/>
              <w:rPr>
                <w:rFonts w:ascii="Arial" w:hAnsi="Arial" w:cs="Arial"/>
                <w:sz w:val="16"/>
                <w:szCs w:val="16"/>
              </w:rPr>
            </w:pPr>
          </w:p>
        </w:tc>
        <w:tc>
          <w:tcPr>
            <w:tcW w:w="1516" w:type="dxa"/>
            <w:noWrap/>
            <w:vAlign w:val="center"/>
          </w:tcPr>
          <w:p w14:paraId="4559EDAA" w14:textId="77777777" w:rsidR="00FF22A0" w:rsidRPr="00490F9F" w:rsidRDefault="00FF22A0" w:rsidP="00E91CD3">
            <w:pPr>
              <w:spacing w:after="0" w:line="240" w:lineRule="auto"/>
              <w:jc w:val="right"/>
              <w:rPr>
                <w:rFonts w:ascii="Arial" w:hAnsi="Arial" w:cs="Arial"/>
                <w:sz w:val="16"/>
                <w:szCs w:val="16"/>
              </w:rPr>
            </w:pPr>
          </w:p>
        </w:tc>
        <w:tc>
          <w:tcPr>
            <w:tcW w:w="1104" w:type="dxa"/>
            <w:noWrap/>
            <w:vAlign w:val="center"/>
          </w:tcPr>
          <w:p w14:paraId="25FF5D3D" w14:textId="77777777" w:rsidR="00FF22A0" w:rsidRPr="00490F9F" w:rsidRDefault="00FF22A0" w:rsidP="00E91CD3">
            <w:pPr>
              <w:spacing w:after="0" w:line="240" w:lineRule="auto"/>
              <w:jc w:val="right"/>
              <w:rPr>
                <w:rFonts w:ascii="Arial" w:hAnsi="Arial" w:cs="Arial"/>
                <w:sz w:val="16"/>
                <w:szCs w:val="16"/>
              </w:rPr>
            </w:pPr>
          </w:p>
        </w:tc>
        <w:tc>
          <w:tcPr>
            <w:tcW w:w="1240" w:type="dxa"/>
            <w:noWrap/>
            <w:vAlign w:val="center"/>
          </w:tcPr>
          <w:p w14:paraId="50A8B5C4" w14:textId="77777777" w:rsidR="00FF22A0" w:rsidRPr="00490F9F" w:rsidRDefault="00FF22A0" w:rsidP="00E91CD3">
            <w:pPr>
              <w:spacing w:after="0" w:line="240" w:lineRule="auto"/>
              <w:jc w:val="right"/>
              <w:rPr>
                <w:rFonts w:ascii="Arial" w:hAnsi="Arial" w:cs="Arial"/>
                <w:sz w:val="16"/>
                <w:szCs w:val="16"/>
              </w:rPr>
            </w:pPr>
          </w:p>
        </w:tc>
        <w:tc>
          <w:tcPr>
            <w:tcW w:w="1789" w:type="dxa"/>
            <w:noWrap/>
            <w:vAlign w:val="center"/>
          </w:tcPr>
          <w:p w14:paraId="7351FA6A"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950</w:t>
            </w:r>
          </w:p>
        </w:tc>
      </w:tr>
    </w:tbl>
    <w:p w14:paraId="4DB126B3" w14:textId="77777777" w:rsidR="00FF22A0" w:rsidRPr="00490F9F" w:rsidRDefault="00FF22A0" w:rsidP="00E91CD3">
      <w:pPr>
        <w:suppressAutoHyphens/>
        <w:spacing w:after="0" w:line="240" w:lineRule="auto"/>
        <w:jc w:val="both"/>
        <w:rPr>
          <w:rFonts w:ascii="Arial" w:hAnsi="Arial" w:cs="Arial"/>
          <w:spacing w:val="-3"/>
          <w:sz w:val="20"/>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127"/>
        <w:gridCol w:w="1559"/>
        <w:gridCol w:w="1843"/>
        <w:gridCol w:w="1417"/>
        <w:gridCol w:w="1134"/>
        <w:gridCol w:w="1559"/>
      </w:tblGrid>
      <w:tr w:rsidR="00FF22A0" w:rsidRPr="00490F9F" w14:paraId="3BD42213" w14:textId="77777777" w:rsidTr="00857577">
        <w:trPr>
          <w:trHeight w:val="20"/>
        </w:trPr>
        <w:tc>
          <w:tcPr>
            <w:tcW w:w="2127" w:type="dxa"/>
            <w:shd w:val="clear" w:color="auto" w:fill="00709E"/>
            <w:noWrap/>
            <w:vAlign w:val="center"/>
          </w:tcPr>
          <w:p w14:paraId="20267D6B" w14:textId="77777777" w:rsidR="00FF22A0" w:rsidRPr="00490F9F" w:rsidRDefault="00FF22A0"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Company</w:t>
            </w:r>
          </w:p>
        </w:tc>
        <w:tc>
          <w:tcPr>
            <w:tcW w:w="1559" w:type="dxa"/>
            <w:shd w:val="clear" w:color="auto" w:fill="00709E"/>
            <w:noWrap/>
            <w:vAlign w:val="center"/>
          </w:tcPr>
          <w:p w14:paraId="7FA623EB"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 class</w:t>
            </w:r>
          </w:p>
        </w:tc>
        <w:tc>
          <w:tcPr>
            <w:tcW w:w="1843" w:type="dxa"/>
            <w:shd w:val="clear" w:color="auto" w:fill="00709E"/>
            <w:noWrap/>
            <w:vAlign w:val="center"/>
          </w:tcPr>
          <w:p w14:paraId="23BCFB77"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delisted shares</w:t>
            </w:r>
          </w:p>
        </w:tc>
        <w:tc>
          <w:tcPr>
            <w:tcW w:w="1417" w:type="dxa"/>
            <w:shd w:val="clear" w:color="auto" w:fill="00709E"/>
            <w:noWrap/>
            <w:vAlign w:val="center"/>
          </w:tcPr>
          <w:p w14:paraId="2407B8E8" w14:textId="77777777" w:rsidR="00FF22A0" w:rsidRPr="00490F9F" w:rsidRDefault="00FF22A0" w:rsidP="00E91CD3">
            <w:pPr>
              <w:spacing w:after="0" w:line="240" w:lineRule="auto"/>
              <w:ind w:hanging="51"/>
              <w:jc w:val="center"/>
              <w:rPr>
                <w:rFonts w:ascii="Arial" w:hAnsi="Arial" w:cs="Arial"/>
                <w:b/>
                <w:bCs/>
                <w:color w:val="FFFFFF"/>
                <w:sz w:val="16"/>
                <w:szCs w:val="16"/>
              </w:rPr>
            </w:pPr>
            <w:r w:rsidRPr="00490F9F">
              <w:rPr>
                <w:rFonts w:ascii="Arial" w:hAnsi="Arial" w:cs="Arial"/>
                <w:b/>
                <w:bCs/>
                <w:color w:val="FFFFFF"/>
                <w:sz w:val="16"/>
                <w:szCs w:val="16"/>
              </w:rPr>
              <w:t>End of day price</w:t>
            </w:r>
          </w:p>
          <w:p w14:paraId="574D6A5B" w14:textId="77777777" w:rsidR="00FF22A0" w:rsidRPr="00490F9F" w:rsidRDefault="00FF22A0" w:rsidP="00E91CD3">
            <w:pPr>
              <w:pStyle w:val="BodyText3"/>
              <w:rPr>
                <w:rFonts w:ascii="Arial" w:hAnsi="Arial" w:cs="Arial"/>
                <w:b w:val="0"/>
                <w:color w:val="FFFFFF"/>
                <w:sz w:val="16"/>
                <w:szCs w:val="16"/>
                <w:lang w:val="en-GB"/>
              </w:rPr>
            </w:pPr>
            <w:r w:rsidRPr="00490F9F">
              <w:rPr>
                <w:rFonts w:ascii="Arial" w:hAnsi="Arial" w:cs="Arial"/>
                <w:color w:val="FFFFFF"/>
                <w:sz w:val="16"/>
                <w:szCs w:val="16"/>
                <w:lang w:val="en-GB"/>
              </w:rPr>
              <w:t>(last day of quotation)</w:t>
            </w:r>
          </w:p>
        </w:tc>
        <w:tc>
          <w:tcPr>
            <w:tcW w:w="1134" w:type="dxa"/>
            <w:shd w:val="clear" w:color="auto" w:fill="00709E"/>
            <w:noWrap/>
            <w:vAlign w:val="center"/>
          </w:tcPr>
          <w:p w14:paraId="4FF6093D"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Company market cap</w:t>
            </w:r>
          </w:p>
          <w:p w14:paraId="2CCD3D62"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delisted</w:t>
            </w:r>
          </w:p>
        </w:tc>
        <w:tc>
          <w:tcPr>
            <w:tcW w:w="1559" w:type="dxa"/>
            <w:shd w:val="clear" w:color="auto" w:fill="00709E"/>
            <w:noWrap/>
            <w:vAlign w:val="center"/>
          </w:tcPr>
          <w:p w14:paraId="58B8925F"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Delisted market cap on exchange</w:t>
            </w:r>
          </w:p>
        </w:tc>
      </w:tr>
      <w:tr w:rsidR="00FF22A0" w:rsidRPr="00490F9F" w14:paraId="0DBB2406" w14:textId="77777777" w:rsidTr="00857577">
        <w:trPr>
          <w:trHeight w:val="20"/>
        </w:trPr>
        <w:tc>
          <w:tcPr>
            <w:tcW w:w="2127" w:type="dxa"/>
            <w:shd w:val="clear" w:color="auto" w:fill="00709E"/>
            <w:noWrap/>
            <w:vAlign w:val="center"/>
          </w:tcPr>
          <w:p w14:paraId="542C0B64"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559" w:type="dxa"/>
            <w:noWrap/>
            <w:vAlign w:val="bottom"/>
          </w:tcPr>
          <w:p w14:paraId="38BDE906"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843" w:type="dxa"/>
            <w:noWrap/>
            <w:vAlign w:val="center"/>
          </w:tcPr>
          <w:p w14:paraId="68A16205"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25</w:t>
            </w:r>
          </w:p>
        </w:tc>
        <w:tc>
          <w:tcPr>
            <w:tcW w:w="1417" w:type="dxa"/>
            <w:noWrap/>
            <w:vAlign w:val="center"/>
          </w:tcPr>
          <w:p w14:paraId="123A47AA"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3</w:t>
            </w:r>
          </w:p>
        </w:tc>
        <w:tc>
          <w:tcPr>
            <w:tcW w:w="1134" w:type="dxa"/>
            <w:noWrap/>
            <w:vAlign w:val="center"/>
          </w:tcPr>
          <w:p w14:paraId="60DC032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75</w:t>
            </w:r>
          </w:p>
        </w:tc>
        <w:tc>
          <w:tcPr>
            <w:tcW w:w="1559" w:type="dxa"/>
            <w:noWrap/>
            <w:vAlign w:val="center"/>
          </w:tcPr>
          <w:p w14:paraId="73729496"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36ED878A" w14:textId="77777777" w:rsidTr="00857577">
        <w:trPr>
          <w:trHeight w:val="20"/>
        </w:trPr>
        <w:tc>
          <w:tcPr>
            <w:tcW w:w="2127" w:type="dxa"/>
            <w:shd w:val="clear" w:color="auto" w:fill="00709E"/>
            <w:noWrap/>
            <w:vAlign w:val="center"/>
          </w:tcPr>
          <w:p w14:paraId="5F61B27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A total</w:t>
            </w:r>
          </w:p>
        </w:tc>
        <w:tc>
          <w:tcPr>
            <w:tcW w:w="1559" w:type="dxa"/>
            <w:noWrap/>
            <w:vAlign w:val="bottom"/>
          </w:tcPr>
          <w:p w14:paraId="4207CF6D"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843" w:type="dxa"/>
            <w:noWrap/>
            <w:vAlign w:val="center"/>
          </w:tcPr>
          <w:p w14:paraId="40AD66C8"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417" w:type="dxa"/>
            <w:noWrap/>
            <w:vAlign w:val="center"/>
          </w:tcPr>
          <w:p w14:paraId="574CECD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34" w:type="dxa"/>
            <w:noWrap/>
            <w:vAlign w:val="center"/>
          </w:tcPr>
          <w:p w14:paraId="3D278478" w14:textId="77777777" w:rsidR="00FF22A0" w:rsidRPr="00490F9F" w:rsidRDefault="00FF22A0" w:rsidP="00E91CD3">
            <w:pPr>
              <w:spacing w:after="0" w:line="240" w:lineRule="auto"/>
              <w:jc w:val="right"/>
              <w:rPr>
                <w:rFonts w:ascii="Arial" w:hAnsi="Arial" w:cs="Arial"/>
                <w:sz w:val="16"/>
                <w:szCs w:val="16"/>
              </w:rPr>
            </w:pPr>
          </w:p>
        </w:tc>
        <w:tc>
          <w:tcPr>
            <w:tcW w:w="1559" w:type="dxa"/>
            <w:noWrap/>
            <w:vAlign w:val="center"/>
          </w:tcPr>
          <w:p w14:paraId="3011D38D"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75</w:t>
            </w:r>
          </w:p>
        </w:tc>
      </w:tr>
      <w:tr w:rsidR="00FF22A0" w:rsidRPr="00490F9F" w14:paraId="7CC449F0" w14:textId="77777777" w:rsidTr="00857577">
        <w:trPr>
          <w:trHeight w:val="20"/>
        </w:trPr>
        <w:tc>
          <w:tcPr>
            <w:tcW w:w="2127" w:type="dxa"/>
            <w:shd w:val="clear" w:color="auto" w:fill="00709E"/>
            <w:noWrap/>
            <w:vAlign w:val="center"/>
          </w:tcPr>
          <w:p w14:paraId="51757F44"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559" w:type="dxa"/>
            <w:noWrap/>
            <w:vAlign w:val="bottom"/>
          </w:tcPr>
          <w:p w14:paraId="23A02E2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Preference shares</w:t>
            </w:r>
          </w:p>
        </w:tc>
        <w:tc>
          <w:tcPr>
            <w:tcW w:w="1843" w:type="dxa"/>
            <w:noWrap/>
            <w:vAlign w:val="center"/>
          </w:tcPr>
          <w:p w14:paraId="5316FE22"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150</w:t>
            </w:r>
          </w:p>
        </w:tc>
        <w:tc>
          <w:tcPr>
            <w:tcW w:w="1417" w:type="dxa"/>
            <w:noWrap/>
            <w:vAlign w:val="center"/>
          </w:tcPr>
          <w:p w14:paraId="34203D23"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134" w:type="dxa"/>
            <w:noWrap/>
            <w:vAlign w:val="center"/>
          </w:tcPr>
          <w:p w14:paraId="53D638F0"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150</w:t>
            </w:r>
          </w:p>
        </w:tc>
        <w:tc>
          <w:tcPr>
            <w:tcW w:w="1559" w:type="dxa"/>
            <w:noWrap/>
            <w:vAlign w:val="center"/>
          </w:tcPr>
          <w:p w14:paraId="5C532521"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1AEC0F40" w14:textId="77777777" w:rsidTr="00857577">
        <w:trPr>
          <w:trHeight w:val="20"/>
        </w:trPr>
        <w:tc>
          <w:tcPr>
            <w:tcW w:w="2127" w:type="dxa"/>
            <w:shd w:val="clear" w:color="auto" w:fill="00709E"/>
            <w:noWrap/>
            <w:vAlign w:val="center"/>
          </w:tcPr>
          <w:p w14:paraId="11556C0F"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B total</w:t>
            </w:r>
          </w:p>
        </w:tc>
        <w:tc>
          <w:tcPr>
            <w:tcW w:w="1559" w:type="dxa"/>
            <w:noWrap/>
            <w:vAlign w:val="bottom"/>
          </w:tcPr>
          <w:p w14:paraId="151F364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843" w:type="dxa"/>
            <w:noWrap/>
            <w:vAlign w:val="center"/>
          </w:tcPr>
          <w:p w14:paraId="6971BF18"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417" w:type="dxa"/>
            <w:noWrap/>
            <w:vAlign w:val="center"/>
          </w:tcPr>
          <w:p w14:paraId="4BBCE73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34" w:type="dxa"/>
            <w:noWrap/>
            <w:vAlign w:val="center"/>
          </w:tcPr>
          <w:p w14:paraId="2900021A"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559" w:type="dxa"/>
            <w:noWrap/>
            <w:vAlign w:val="center"/>
          </w:tcPr>
          <w:p w14:paraId="005D6B5A"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150</w:t>
            </w:r>
          </w:p>
        </w:tc>
      </w:tr>
      <w:tr w:rsidR="00FF22A0" w:rsidRPr="00490F9F" w14:paraId="2F026996" w14:textId="77777777" w:rsidTr="00857577">
        <w:trPr>
          <w:trHeight w:val="20"/>
        </w:trPr>
        <w:tc>
          <w:tcPr>
            <w:tcW w:w="2127" w:type="dxa"/>
            <w:shd w:val="clear" w:color="auto" w:fill="00709E"/>
            <w:noWrap/>
            <w:vAlign w:val="center"/>
          </w:tcPr>
          <w:p w14:paraId="6D11BC87"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559" w:type="dxa"/>
            <w:noWrap/>
            <w:vAlign w:val="bottom"/>
          </w:tcPr>
          <w:p w14:paraId="5C7A6AB2"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843" w:type="dxa"/>
            <w:noWrap/>
            <w:vAlign w:val="center"/>
          </w:tcPr>
          <w:p w14:paraId="5F5C1EF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417" w:type="dxa"/>
            <w:noWrap/>
            <w:vAlign w:val="center"/>
          </w:tcPr>
          <w:p w14:paraId="6C1D67B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134" w:type="dxa"/>
            <w:noWrap/>
            <w:vAlign w:val="center"/>
          </w:tcPr>
          <w:p w14:paraId="3F218E5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559" w:type="dxa"/>
            <w:noWrap/>
            <w:vAlign w:val="center"/>
          </w:tcPr>
          <w:p w14:paraId="055F2B07"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1799A1D9" w14:textId="77777777" w:rsidTr="00857577">
        <w:trPr>
          <w:trHeight w:val="20"/>
        </w:trPr>
        <w:tc>
          <w:tcPr>
            <w:tcW w:w="2127" w:type="dxa"/>
            <w:shd w:val="clear" w:color="auto" w:fill="00709E"/>
            <w:noWrap/>
            <w:vAlign w:val="center"/>
          </w:tcPr>
          <w:p w14:paraId="0A996242"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C total</w:t>
            </w:r>
          </w:p>
        </w:tc>
        <w:tc>
          <w:tcPr>
            <w:tcW w:w="1559" w:type="dxa"/>
            <w:noWrap/>
            <w:vAlign w:val="bottom"/>
          </w:tcPr>
          <w:p w14:paraId="395B2B62"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843" w:type="dxa"/>
            <w:noWrap/>
            <w:vAlign w:val="center"/>
          </w:tcPr>
          <w:p w14:paraId="799C2B49"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417" w:type="dxa"/>
            <w:noWrap/>
            <w:vAlign w:val="center"/>
          </w:tcPr>
          <w:p w14:paraId="773583C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34" w:type="dxa"/>
            <w:noWrap/>
            <w:vAlign w:val="center"/>
          </w:tcPr>
          <w:p w14:paraId="5B0E7271"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559" w:type="dxa"/>
            <w:noWrap/>
            <w:vAlign w:val="center"/>
          </w:tcPr>
          <w:p w14:paraId="54493596"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200</w:t>
            </w:r>
          </w:p>
        </w:tc>
      </w:tr>
      <w:tr w:rsidR="00FF22A0" w:rsidRPr="00490F9F" w14:paraId="6F1042BF" w14:textId="77777777" w:rsidTr="00857577">
        <w:trPr>
          <w:trHeight w:val="20"/>
        </w:trPr>
        <w:tc>
          <w:tcPr>
            <w:tcW w:w="2127" w:type="dxa"/>
            <w:shd w:val="clear" w:color="auto" w:fill="00709E"/>
            <w:noWrap/>
            <w:vAlign w:val="center"/>
          </w:tcPr>
          <w:p w14:paraId="7BE2B9F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 xml:space="preserve">Total market cap delisted </w:t>
            </w:r>
          </w:p>
        </w:tc>
        <w:tc>
          <w:tcPr>
            <w:tcW w:w="1559" w:type="dxa"/>
            <w:noWrap/>
            <w:vAlign w:val="bottom"/>
          </w:tcPr>
          <w:p w14:paraId="4404A15A" w14:textId="77777777" w:rsidR="00FF22A0" w:rsidRPr="00490F9F" w:rsidRDefault="00FF22A0" w:rsidP="00E91CD3">
            <w:pPr>
              <w:spacing w:after="0" w:line="240" w:lineRule="auto"/>
              <w:rPr>
                <w:rFonts w:ascii="Arial" w:hAnsi="Arial" w:cs="Arial"/>
                <w:sz w:val="16"/>
                <w:szCs w:val="16"/>
              </w:rPr>
            </w:pPr>
          </w:p>
        </w:tc>
        <w:tc>
          <w:tcPr>
            <w:tcW w:w="1843" w:type="dxa"/>
            <w:noWrap/>
            <w:vAlign w:val="center"/>
          </w:tcPr>
          <w:p w14:paraId="00AEE020" w14:textId="77777777" w:rsidR="00FF22A0" w:rsidRPr="00490F9F" w:rsidRDefault="00FF22A0" w:rsidP="00E91CD3">
            <w:pPr>
              <w:spacing w:after="0" w:line="240" w:lineRule="auto"/>
              <w:jc w:val="right"/>
              <w:rPr>
                <w:rFonts w:ascii="Arial" w:hAnsi="Arial" w:cs="Arial"/>
                <w:sz w:val="16"/>
                <w:szCs w:val="16"/>
              </w:rPr>
            </w:pPr>
          </w:p>
        </w:tc>
        <w:tc>
          <w:tcPr>
            <w:tcW w:w="1417" w:type="dxa"/>
            <w:noWrap/>
            <w:vAlign w:val="center"/>
          </w:tcPr>
          <w:p w14:paraId="4FD8EAB7" w14:textId="77777777" w:rsidR="00FF22A0" w:rsidRPr="00490F9F" w:rsidRDefault="00FF22A0" w:rsidP="00E91CD3">
            <w:pPr>
              <w:spacing w:after="0" w:line="240" w:lineRule="auto"/>
              <w:jc w:val="right"/>
              <w:rPr>
                <w:rFonts w:ascii="Arial" w:hAnsi="Arial" w:cs="Arial"/>
                <w:sz w:val="16"/>
                <w:szCs w:val="16"/>
              </w:rPr>
            </w:pPr>
          </w:p>
        </w:tc>
        <w:tc>
          <w:tcPr>
            <w:tcW w:w="1134" w:type="dxa"/>
            <w:noWrap/>
            <w:vAlign w:val="center"/>
          </w:tcPr>
          <w:p w14:paraId="4FB14612" w14:textId="77777777" w:rsidR="00FF22A0" w:rsidRPr="00490F9F" w:rsidRDefault="00FF22A0" w:rsidP="00E91CD3">
            <w:pPr>
              <w:spacing w:after="0" w:line="240" w:lineRule="auto"/>
              <w:jc w:val="right"/>
              <w:rPr>
                <w:rFonts w:ascii="Arial" w:hAnsi="Arial" w:cs="Arial"/>
                <w:sz w:val="16"/>
                <w:szCs w:val="16"/>
              </w:rPr>
            </w:pPr>
          </w:p>
        </w:tc>
        <w:tc>
          <w:tcPr>
            <w:tcW w:w="1559" w:type="dxa"/>
            <w:noWrap/>
            <w:vAlign w:val="center"/>
          </w:tcPr>
          <w:p w14:paraId="5EDA12CE"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425</w:t>
            </w:r>
          </w:p>
        </w:tc>
      </w:tr>
    </w:tbl>
    <w:p w14:paraId="4752C234" w14:textId="77777777" w:rsidR="00DD745B" w:rsidRPr="00490F9F" w:rsidRDefault="00DD745B" w:rsidP="00E91CD3">
      <w:pPr>
        <w:spacing w:after="0" w:line="240" w:lineRule="auto"/>
        <w:rPr>
          <w:rFonts w:ascii="Arial" w:hAnsi="Arial" w:cs="Arial"/>
          <w:sz w:val="20"/>
        </w:rPr>
      </w:pPr>
    </w:p>
    <w:p w14:paraId="2B50C12D" w14:textId="7DE3441B" w:rsidR="006D1736" w:rsidRPr="0066060D" w:rsidRDefault="00130CC4" w:rsidP="0066060D">
      <w:pPr>
        <w:spacing w:after="0"/>
        <w:rPr>
          <w:rFonts w:ascii="Arial" w:hAnsi="Arial" w:cs="Arial"/>
          <w:b/>
          <w:bCs/>
        </w:rPr>
      </w:pPr>
      <w:bookmarkStart w:id="5" w:name="_Ref13735170"/>
      <w:r w:rsidRPr="0066060D">
        <w:rPr>
          <w:rFonts w:ascii="Arial" w:hAnsi="Arial" w:cs="Arial"/>
          <w:b/>
          <w:bCs/>
        </w:rPr>
        <w:t>Indicator</w:t>
      </w:r>
      <w:r w:rsidR="00A0146E" w:rsidRPr="0066060D">
        <w:rPr>
          <w:rFonts w:ascii="Arial" w:hAnsi="Arial" w:cs="Arial"/>
          <w:b/>
          <w:bCs/>
        </w:rPr>
        <w:t xml:space="preserve">: </w:t>
      </w:r>
      <w:r w:rsidR="006D1736" w:rsidRPr="0066060D">
        <w:rPr>
          <w:rFonts w:ascii="Arial" w:hAnsi="Arial" w:cs="Arial"/>
          <w:b/>
          <w:bCs/>
        </w:rPr>
        <w:t xml:space="preserve">Number of listed companies </w:t>
      </w:r>
      <w:r w:rsidRPr="0066060D">
        <w:rPr>
          <w:rFonts w:ascii="Arial" w:hAnsi="Arial" w:cs="Arial"/>
          <w:b/>
          <w:bCs/>
        </w:rPr>
        <w:t>(</w:t>
      </w:r>
      <w:r w:rsidR="007349B0" w:rsidRPr="0066060D">
        <w:rPr>
          <w:rFonts w:ascii="Arial" w:hAnsi="Arial" w:cs="Arial"/>
          <w:b/>
          <w:bCs/>
        </w:rPr>
        <w:t>Domestic</w:t>
      </w:r>
      <w:r w:rsidRPr="0066060D">
        <w:rPr>
          <w:rFonts w:ascii="Arial" w:hAnsi="Arial" w:cs="Arial"/>
          <w:b/>
          <w:bCs/>
        </w:rPr>
        <w:t>)</w:t>
      </w:r>
      <w:bookmarkEnd w:id="5"/>
    </w:p>
    <w:p w14:paraId="3F2DC362" w14:textId="77777777" w:rsidR="007349B0" w:rsidRPr="0066060D" w:rsidRDefault="007349B0" w:rsidP="0066060D">
      <w:pPr>
        <w:spacing w:after="0"/>
        <w:rPr>
          <w:rFonts w:ascii="Arial" w:hAnsi="Arial" w:cs="Arial"/>
          <w:b/>
          <w:bCs/>
        </w:rPr>
      </w:pPr>
      <w:r w:rsidRPr="0066060D">
        <w:rPr>
          <w:rFonts w:ascii="Arial" w:hAnsi="Arial" w:cs="Arial"/>
          <w:b/>
          <w:bCs/>
        </w:rPr>
        <w:t>Indicator: Number of listed companies (Foreign)</w:t>
      </w:r>
    </w:p>
    <w:p w14:paraId="0125F2C2" w14:textId="163E73A6" w:rsidR="007349B0" w:rsidRPr="0066060D" w:rsidRDefault="007349B0" w:rsidP="0066060D">
      <w:pPr>
        <w:rPr>
          <w:rFonts w:ascii="Arial" w:hAnsi="Arial" w:cs="Arial"/>
          <w:b/>
          <w:bCs/>
        </w:rPr>
      </w:pPr>
      <w:r w:rsidRPr="0066060D">
        <w:rPr>
          <w:rFonts w:ascii="Arial" w:hAnsi="Arial" w:cs="Arial"/>
          <w:b/>
          <w:bCs/>
        </w:rPr>
        <w:t>Indicator: Number of listed companies (Total)</w:t>
      </w:r>
    </w:p>
    <w:p w14:paraId="38EA73B7" w14:textId="70F0E973" w:rsidR="006D1736" w:rsidRDefault="006D1736" w:rsidP="00E91CD3">
      <w:pPr>
        <w:suppressAutoHyphens/>
        <w:spacing w:after="0" w:line="240" w:lineRule="auto"/>
        <w:jc w:val="both"/>
        <w:rPr>
          <w:rFonts w:ascii="Arial" w:hAnsi="Arial" w:cs="Arial"/>
          <w:spacing w:val="-3"/>
          <w:sz w:val="20"/>
        </w:rPr>
      </w:pPr>
      <w:r>
        <w:rPr>
          <w:rFonts w:ascii="Arial" w:hAnsi="Arial" w:cs="Arial"/>
          <w:spacing w:val="-3"/>
          <w:sz w:val="20"/>
        </w:rPr>
        <w:t xml:space="preserve">This is </w:t>
      </w:r>
      <w:r w:rsidRPr="00490F9F">
        <w:rPr>
          <w:rFonts w:ascii="Arial" w:hAnsi="Arial" w:cs="Arial"/>
          <w:spacing w:val="-3"/>
          <w:sz w:val="20"/>
        </w:rPr>
        <w:t>the number of companies which have shares</w:t>
      </w:r>
      <w:r w:rsidR="00337C7B">
        <w:rPr>
          <w:rFonts w:ascii="Arial" w:hAnsi="Arial" w:cs="Arial"/>
          <w:spacing w:val="-3"/>
          <w:sz w:val="20"/>
        </w:rPr>
        <w:t xml:space="preserve"> (including their several classes)</w:t>
      </w:r>
      <w:r w:rsidRPr="00490F9F">
        <w:rPr>
          <w:rFonts w:ascii="Arial" w:hAnsi="Arial" w:cs="Arial"/>
          <w:spacing w:val="-3"/>
          <w:sz w:val="20"/>
        </w:rPr>
        <w:t xml:space="preserve"> listed on an exchange at the end of the period, split into </w:t>
      </w:r>
      <w:r w:rsidR="00CF79EE" w:rsidRPr="000B331A">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_Ref13563231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0B331A">
        <w:rPr>
          <w:rFonts w:ascii="Arial" w:eastAsia="Times New Roman" w:hAnsi="Arial" w:cs="Arial"/>
          <w:snapToGrid w:val="0"/>
          <w:color w:val="002060"/>
          <w:sz w:val="20"/>
          <w:szCs w:val="20"/>
          <w:u w:val="single"/>
          <w:lang w:eastAsia="fr-FR"/>
        </w:rPr>
      </w:r>
      <w:r w:rsidR="00CF79EE" w:rsidRPr="000B331A">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0B331A">
        <w:rPr>
          <w:rFonts w:ascii="Arial" w:eastAsia="Times New Roman" w:hAnsi="Arial" w:cs="Arial"/>
          <w:snapToGrid w:val="0"/>
          <w:color w:val="002060"/>
          <w:sz w:val="20"/>
          <w:szCs w:val="20"/>
          <w:u w:val="single"/>
          <w:lang w:eastAsia="fr-FR"/>
        </w:rPr>
        <w:fldChar w:fldCharType="end"/>
      </w:r>
      <w:r w:rsidRPr="006279C6">
        <w:rPr>
          <w:rFonts w:ascii="Arial" w:hAnsi="Arial" w:cs="Arial"/>
          <w:spacing w:val="-3"/>
          <w:sz w:val="20"/>
          <w:szCs w:val="20"/>
        </w:rPr>
        <w:t xml:space="preserve"> 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Pr>
          <w:rFonts w:ascii="Arial" w:hAnsi="Arial" w:cs="Arial"/>
          <w:spacing w:val="-3"/>
          <w:sz w:val="20"/>
        </w:rPr>
        <w:t>. The number excludes</w:t>
      </w:r>
      <w:r w:rsidRPr="00490F9F">
        <w:rPr>
          <w:rFonts w:ascii="Arial" w:hAnsi="Arial" w:cs="Arial"/>
          <w:spacing w:val="-3"/>
          <w:sz w:val="20"/>
        </w:rPr>
        <w:t xml:space="preserve"> investment funds, </w:t>
      </w:r>
      <w:r>
        <w:rPr>
          <w:rFonts w:ascii="Arial" w:hAnsi="Arial" w:cs="Arial"/>
          <w:spacing w:val="-3"/>
          <w:sz w:val="20"/>
        </w:rPr>
        <w:t xml:space="preserve">ETFs, </w:t>
      </w:r>
      <w:r w:rsidRPr="00490F9F">
        <w:rPr>
          <w:rFonts w:ascii="Arial" w:hAnsi="Arial" w:cs="Arial"/>
          <w:spacing w:val="-3"/>
          <w:sz w:val="20"/>
        </w:rPr>
        <w:t>unit trusts, and companies whose only business goal is to hold shares of other listed companies, such as holding companies and investment companies. A company with several classes of shares is counted just once. Only companies admitted to listing are included.</w:t>
      </w:r>
    </w:p>
    <w:p w14:paraId="6175A985" w14:textId="77777777" w:rsidR="00BF3E90" w:rsidRDefault="00BF3E90" w:rsidP="00E91CD3">
      <w:pPr>
        <w:suppressAutoHyphens/>
        <w:spacing w:after="0" w:line="240" w:lineRule="auto"/>
        <w:jc w:val="both"/>
        <w:rPr>
          <w:rFonts w:ascii="Arial" w:hAnsi="Arial" w:cs="Arial"/>
          <w:spacing w:val="-3"/>
          <w:sz w:val="20"/>
        </w:rPr>
      </w:pPr>
    </w:p>
    <w:p w14:paraId="1A03AB3D" w14:textId="0CDB8AD9" w:rsidR="003E0383" w:rsidRPr="00490F9F" w:rsidRDefault="00A93B79"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Total Number of listed companies is calculated by summing the </w:t>
      </w:r>
      <w:r w:rsidR="00B47A45">
        <w:rPr>
          <w:rFonts w:ascii="Arial" w:hAnsi="Arial" w:cs="Arial"/>
          <w:spacing w:val="-3"/>
          <w:sz w:val="20"/>
        </w:rPr>
        <w:t>Number of</w:t>
      </w:r>
      <w:r w:rsidR="00952E89">
        <w:rPr>
          <w:rFonts w:ascii="Arial" w:hAnsi="Arial" w:cs="Arial"/>
          <w:spacing w:val="-3"/>
          <w:sz w:val="20"/>
        </w:rPr>
        <w:t xml:space="preserve"> listed</w:t>
      </w:r>
      <w:r w:rsidR="00B47A45">
        <w:rPr>
          <w:rFonts w:ascii="Arial" w:hAnsi="Arial" w:cs="Arial"/>
          <w:spacing w:val="-3"/>
          <w:sz w:val="20"/>
        </w:rPr>
        <w:t xml:space="preserve"> </w:t>
      </w:r>
      <w:r w:rsidR="00CF79EE" w:rsidRPr="000B331A">
        <w:rPr>
          <w:rFonts w:ascii="Arial" w:eastAsia="Times New Roman" w:hAnsi="Arial" w:cs="Arial"/>
          <w:snapToGrid w:val="0"/>
          <w:color w:val="002060"/>
          <w:sz w:val="20"/>
          <w:szCs w:val="20"/>
          <w:u w:val="single"/>
          <w:lang w:eastAsia="fr-FR"/>
        </w:rPr>
        <w:fldChar w:fldCharType="begin"/>
      </w:r>
      <w:r w:rsidR="00CF79EE" w:rsidRPr="000B331A">
        <w:rPr>
          <w:rFonts w:ascii="Arial" w:eastAsia="Times New Roman" w:hAnsi="Arial" w:cs="Arial"/>
          <w:snapToGrid w:val="0"/>
          <w:color w:val="002060"/>
          <w:sz w:val="20"/>
          <w:szCs w:val="20"/>
          <w:u w:val="single"/>
          <w:lang w:eastAsia="fr-FR"/>
        </w:rPr>
        <w:instrText xml:space="preserve"> REF _Ref13563231 \h  \* MERGEFORMAT </w:instrText>
      </w:r>
      <w:r w:rsidR="00CF79EE" w:rsidRPr="000B331A">
        <w:rPr>
          <w:rFonts w:ascii="Arial" w:eastAsia="Times New Roman" w:hAnsi="Arial" w:cs="Arial"/>
          <w:snapToGrid w:val="0"/>
          <w:color w:val="002060"/>
          <w:sz w:val="20"/>
          <w:szCs w:val="20"/>
          <w:u w:val="single"/>
          <w:lang w:eastAsia="fr-FR"/>
        </w:rPr>
      </w:r>
      <w:r w:rsidR="00CF79EE" w:rsidRPr="000B331A">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0B331A">
        <w:rPr>
          <w:rFonts w:ascii="Arial" w:eastAsia="Times New Roman" w:hAnsi="Arial" w:cs="Arial"/>
          <w:snapToGrid w:val="0"/>
          <w:color w:val="002060"/>
          <w:sz w:val="20"/>
          <w:szCs w:val="20"/>
          <w:u w:val="single"/>
          <w:lang w:eastAsia="fr-FR"/>
        </w:rPr>
        <w:fldChar w:fldCharType="end"/>
      </w:r>
      <w:r w:rsidR="00CA454B">
        <w:rPr>
          <w:rFonts w:ascii="Arial" w:hAnsi="Arial" w:cs="Arial"/>
          <w:color w:val="1F3864" w:themeColor="accent1" w:themeShade="80"/>
          <w:spacing w:val="-3"/>
          <w:sz w:val="20"/>
          <w:szCs w:val="20"/>
          <w:u w:val="single"/>
        </w:rPr>
        <w:t xml:space="preserve"> </w:t>
      </w:r>
      <w:r w:rsidR="00B47A45">
        <w:rPr>
          <w:rFonts w:ascii="Arial" w:hAnsi="Arial" w:cs="Arial"/>
          <w:spacing w:val="-3"/>
          <w:sz w:val="20"/>
        </w:rPr>
        <w:t>and the Number of</w:t>
      </w:r>
      <w:r w:rsidR="00952E89">
        <w:rPr>
          <w:rFonts w:ascii="Arial" w:hAnsi="Arial" w:cs="Arial"/>
          <w:spacing w:val="-3"/>
          <w:sz w:val="20"/>
        </w:rPr>
        <w:t xml:space="preserve"> listed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00B47A45">
        <w:rPr>
          <w:rFonts w:ascii="Arial" w:hAnsi="Arial" w:cs="Arial"/>
          <w:spacing w:val="-3"/>
          <w:sz w:val="20"/>
        </w:rPr>
        <w:t>.</w:t>
      </w:r>
    </w:p>
    <w:p w14:paraId="4E6D6238" w14:textId="77777777" w:rsidR="00BF3E90" w:rsidRDefault="00BF3E90" w:rsidP="00E91CD3">
      <w:pPr>
        <w:suppressAutoHyphens/>
        <w:spacing w:after="0" w:line="240" w:lineRule="auto"/>
        <w:jc w:val="both"/>
        <w:rPr>
          <w:rFonts w:ascii="Arial" w:hAnsi="Arial" w:cs="Arial"/>
          <w:bCs/>
          <w:i/>
          <w:sz w:val="20"/>
          <w:u w:val="single"/>
        </w:rPr>
      </w:pPr>
    </w:p>
    <w:p w14:paraId="43C30A8B" w14:textId="79F53133" w:rsidR="006D1736" w:rsidRPr="000C2739" w:rsidRDefault="006D1736" w:rsidP="00E91CD3">
      <w:pPr>
        <w:suppressAutoHyphens/>
        <w:spacing w:after="0" w:line="240" w:lineRule="auto"/>
        <w:jc w:val="both"/>
        <w:rPr>
          <w:rFonts w:ascii="Arial" w:hAnsi="Arial" w:cs="Arial"/>
          <w:bCs/>
          <w:i/>
          <w:sz w:val="20"/>
          <w:u w:val="single"/>
        </w:rPr>
      </w:pPr>
      <w:r w:rsidRPr="00490F9F">
        <w:rPr>
          <w:rFonts w:ascii="Arial" w:hAnsi="Arial" w:cs="Arial"/>
          <w:bCs/>
          <w:i/>
          <w:sz w:val="20"/>
          <w:u w:val="single"/>
        </w:rPr>
        <w:t xml:space="preserve">Example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3969"/>
        <w:gridCol w:w="2977"/>
        <w:gridCol w:w="2693"/>
      </w:tblGrid>
      <w:tr w:rsidR="006D1736" w:rsidRPr="00490F9F" w14:paraId="050EBC3B" w14:textId="77777777" w:rsidTr="00857577">
        <w:tc>
          <w:tcPr>
            <w:tcW w:w="3969" w:type="dxa"/>
            <w:shd w:val="clear" w:color="auto" w:fill="00709E"/>
            <w:vAlign w:val="center"/>
          </w:tcPr>
          <w:p w14:paraId="2C78574E" w14:textId="77777777" w:rsidR="006D1736" w:rsidRPr="00490F9F" w:rsidRDefault="006D1736"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w:t>
            </w:r>
          </w:p>
        </w:tc>
        <w:tc>
          <w:tcPr>
            <w:tcW w:w="2977" w:type="dxa"/>
            <w:shd w:val="clear" w:color="auto" w:fill="00709E"/>
            <w:vAlign w:val="center"/>
          </w:tcPr>
          <w:p w14:paraId="1FBA18E4" w14:textId="77777777" w:rsidR="006D1736" w:rsidRPr="00490F9F" w:rsidRDefault="006D1736"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Number of domestic </w:t>
            </w:r>
            <w:r w:rsidRPr="00490F9F">
              <w:rPr>
                <w:rFonts w:ascii="Arial" w:hAnsi="Arial" w:cs="Arial"/>
                <w:b/>
                <w:color w:val="FFFFFF"/>
                <w:sz w:val="16"/>
                <w:szCs w:val="16"/>
              </w:rPr>
              <w:br/>
              <w:t>companies listed</w:t>
            </w:r>
          </w:p>
        </w:tc>
        <w:tc>
          <w:tcPr>
            <w:tcW w:w="2693" w:type="dxa"/>
            <w:shd w:val="clear" w:color="auto" w:fill="00709E"/>
            <w:vAlign w:val="center"/>
          </w:tcPr>
          <w:p w14:paraId="4159963B" w14:textId="77777777" w:rsidR="006D1736" w:rsidRPr="00490F9F" w:rsidRDefault="006D1736"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foreign</w:t>
            </w:r>
          </w:p>
          <w:p w14:paraId="24E52024" w14:textId="77777777" w:rsidR="006D1736" w:rsidRPr="00490F9F" w:rsidRDefault="006D1736"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companies  listed</w:t>
            </w:r>
          </w:p>
        </w:tc>
      </w:tr>
      <w:tr w:rsidR="006D1736" w:rsidRPr="00490F9F" w14:paraId="1B2355B6" w14:textId="77777777" w:rsidTr="00857577">
        <w:tc>
          <w:tcPr>
            <w:tcW w:w="3969" w:type="dxa"/>
            <w:shd w:val="clear" w:color="auto" w:fill="00709E"/>
            <w:vAlign w:val="center"/>
          </w:tcPr>
          <w:p w14:paraId="2157CAEC"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company A </w:t>
            </w:r>
            <w:r w:rsidRPr="00490F9F">
              <w:rPr>
                <w:rFonts w:ascii="Arial" w:hAnsi="Arial" w:cs="Arial"/>
                <w:color w:val="FFFFFF"/>
                <w:sz w:val="16"/>
                <w:szCs w:val="16"/>
              </w:rPr>
              <w:t>with ordinary shares or with preference shares</w:t>
            </w:r>
          </w:p>
        </w:tc>
        <w:tc>
          <w:tcPr>
            <w:tcW w:w="2977" w:type="dxa"/>
            <w:vAlign w:val="center"/>
          </w:tcPr>
          <w:p w14:paraId="40108F02"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693" w:type="dxa"/>
            <w:vAlign w:val="center"/>
          </w:tcPr>
          <w:p w14:paraId="564B204F" w14:textId="77777777" w:rsidR="006D1736" w:rsidRPr="00490F9F" w:rsidRDefault="006D1736" w:rsidP="00E91CD3">
            <w:pPr>
              <w:spacing w:after="0" w:line="240" w:lineRule="auto"/>
              <w:jc w:val="center"/>
              <w:rPr>
                <w:rFonts w:ascii="Arial" w:hAnsi="Arial" w:cs="Arial"/>
                <w:sz w:val="16"/>
                <w:szCs w:val="16"/>
              </w:rPr>
            </w:pPr>
          </w:p>
        </w:tc>
      </w:tr>
      <w:tr w:rsidR="006D1736" w:rsidRPr="00490F9F" w14:paraId="0D2AA1D3" w14:textId="77777777" w:rsidTr="00857577">
        <w:tc>
          <w:tcPr>
            <w:tcW w:w="3969" w:type="dxa"/>
            <w:shd w:val="clear" w:color="auto" w:fill="00709E"/>
            <w:vAlign w:val="center"/>
          </w:tcPr>
          <w:p w14:paraId="359BE6E2"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company B </w:t>
            </w:r>
            <w:r w:rsidRPr="00490F9F">
              <w:rPr>
                <w:rFonts w:ascii="Arial" w:hAnsi="Arial" w:cs="Arial"/>
                <w:color w:val="FFFFFF"/>
                <w:sz w:val="16"/>
                <w:szCs w:val="16"/>
              </w:rPr>
              <w:t>with preference shares</w:t>
            </w:r>
          </w:p>
        </w:tc>
        <w:tc>
          <w:tcPr>
            <w:tcW w:w="2977" w:type="dxa"/>
            <w:vAlign w:val="center"/>
          </w:tcPr>
          <w:p w14:paraId="38F535AF"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693" w:type="dxa"/>
            <w:vAlign w:val="center"/>
          </w:tcPr>
          <w:p w14:paraId="32193C4A" w14:textId="77777777" w:rsidR="006D1736" w:rsidRPr="00490F9F" w:rsidRDefault="006D1736" w:rsidP="00E91CD3">
            <w:pPr>
              <w:spacing w:after="0" w:line="240" w:lineRule="auto"/>
              <w:jc w:val="center"/>
              <w:rPr>
                <w:rFonts w:ascii="Arial" w:hAnsi="Arial" w:cs="Arial"/>
                <w:sz w:val="16"/>
                <w:szCs w:val="16"/>
              </w:rPr>
            </w:pPr>
          </w:p>
        </w:tc>
      </w:tr>
      <w:tr w:rsidR="006D1736" w:rsidRPr="00490F9F" w14:paraId="1238CB57" w14:textId="77777777" w:rsidTr="00857577">
        <w:tc>
          <w:tcPr>
            <w:tcW w:w="3969" w:type="dxa"/>
            <w:shd w:val="clear" w:color="auto" w:fill="00709E"/>
            <w:vAlign w:val="center"/>
          </w:tcPr>
          <w:p w14:paraId="378EE54F"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company A </w:t>
            </w:r>
            <w:r w:rsidRPr="00490F9F">
              <w:rPr>
                <w:rFonts w:ascii="Arial" w:hAnsi="Arial" w:cs="Arial"/>
                <w:color w:val="FFFFFF"/>
                <w:sz w:val="16"/>
                <w:szCs w:val="16"/>
              </w:rPr>
              <w:t>with ordinary shares</w:t>
            </w:r>
          </w:p>
        </w:tc>
        <w:tc>
          <w:tcPr>
            <w:tcW w:w="2977" w:type="dxa"/>
            <w:vAlign w:val="center"/>
          </w:tcPr>
          <w:p w14:paraId="7FFFD060" w14:textId="77777777" w:rsidR="006D1736" w:rsidRPr="00490F9F" w:rsidRDefault="006D1736" w:rsidP="00E91CD3">
            <w:pPr>
              <w:spacing w:after="0" w:line="240" w:lineRule="auto"/>
              <w:jc w:val="center"/>
              <w:rPr>
                <w:rFonts w:ascii="Arial" w:hAnsi="Arial" w:cs="Arial"/>
                <w:sz w:val="16"/>
                <w:szCs w:val="16"/>
              </w:rPr>
            </w:pPr>
          </w:p>
        </w:tc>
        <w:tc>
          <w:tcPr>
            <w:tcW w:w="2693" w:type="dxa"/>
            <w:vAlign w:val="center"/>
          </w:tcPr>
          <w:p w14:paraId="13E9FA6C"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6D1736" w:rsidRPr="00490F9F" w14:paraId="24D322DF" w14:textId="77777777" w:rsidTr="00857577">
        <w:tc>
          <w:tcPr>
            <w:tcW w:w="3969" w:type="dxa"/>
            <w:shd w:val="clear" w:color="auto" w:fill="00709E"/>
            <w:vAlign w:val="center"/>
          </w:tcPr>
          <w:p w14:paraId="27DD94BC"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company B </w:t>
            </w:r>
            <w:r w:rsidRPr="00490F9F">
              <w:rPr>
                <w:rFonts w:ascii="Arial" w:hAnsi="Arial" w:cs="Arial"/>
                <w:color w:val="FFFFFF"/>
                <w:sz w:val="16"/>
                <w:szCs w:val="16"/>
              </w:rPr>
              <w:t>with ordinary shares</w:t>
            </w:r>
          </w:p>
        </w:tc>
        <w:tc>
          <w:tcPr>
            <w:tcW w:w="2977" w:type="dxa"/>
            <w:vAlign w:val="center"/>
          </w:tcPr>
          <w:p w14:paraId="7A9FB8C0" w14:textId="77777777" w:rsidR="006D1736" w:rsidRPr="00490F9F" w:rsidRDefault="006D1736" w:rsidP="00E91CD3">
            <w:pPr>
              <w:spacing w:after="0" w:line="240" w:lineRule="auto"/>
              <w:jc w:val="center"/>
              <w:rPr>
                <w:rFonts w:ascii="Arial" w:hAnsi="Arial" w:cs="Arial"/>
                <w:sz w:val="16"/>
                <w:szCs w:val="16"/>
              </w:rPr>
            </w:pPr>
          </w:p>
        </w:tc>
        <w:tc>
          <w:tcPr>
            <w:tcW w:w="2693" w:type="dxa"/>
            <w:vAlign w:val="center"/>
          </w:tcPr>
          <w:p w14:paraId="5C7F9064"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6D1736" w:rsidRPr="00490F9F" w14:paraId="644CC091" w14:textId="77777777" w:rsidTr="00857577">
        <w:tc>
          <w:tcPr>
            <w:tcW w:w="3969" w:type="dxa"/>
            <w:shd w:val="clear" w:color="auto" w:fill="00709E"/>
            <w:vAlign w:val="center"/>
          </w:tcPr>
          <w:p w14:paraId="52ED96FC" w14:textId="77777777" w:rsidR="006D1736" w:rsidRPr="00490F9F" w:rsidRDefault="006D1736"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Domestic / foreign sub-totals</w:t>
            </w:r>
          </w:p>
        </w:tc>
        <w:tc>
          <w:tcPr>
            <w:tcW w:w="2977" w:type="dxa"/>
            <w:vAlign w:val="center"/>
          </w:tcPr>
          <w:p w14:paraId="7FC61071" w14:textId="77777777" w:rsidR="006D1736" w:rsidRPr="00490F9F" w:rsidRDefault="006D1736"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2693" w:type="dxa"/>
            <w:vAlign w:val="center"/>
          </w:tcPr>
          <w:p w14:paraId="6C71C984" w14:textId="77777777" w:rsidR="006D1736" w:rsidRPr="00490F9F" w:rsidRDefault="006D1736" w:rsidP="00E91CD3">
            <w:pPr>
              <w:spacing w:after="0" w:line="240" w:lineRule="auto"/>
              <w:jc w:val="center"/>
              <w:rPr>
                <w:rFonts w:ascii="Arial" w:hAnsi="Arial" w:cs="Arial"/>
                <w:b/>
                <w:sz w:val="16"/>
                <w:szCs w:val="16"/>
              </w:rPr>
            </w:pPr>
            <w:r w:rsidRPr="00490F9F">
              <w:rPr>
                <w:rFonts w:ascii="Arial" w:hAnsi="Arial" w:cs="Arial"/>
                <w:b/>
                <w:sz w:val="16"/>
                <w:szCs w:val="16"/>
              </w:rPr>
              <w:t>2</w:t>
            </w:r>
          </w:p>
        </w:tc>
      </w:tr>
      <w:tr w:rsidR="006D1736" w:rsidRPr="00490F9F" w14:paraId="081E455C" w14:textId="77777777" w:rsidTr="00857577">
        <w:tc>
          <w:tcPr>
            <w:tcW w:w="3969" w:type="dxa"/>
            <w:shd w:val="clear" w:color="auto" w:fill="00709E"/>
            <w:vAlign w:val="center"/>
          </w:tcPr>
          <w:p w14:paraId="6F845F01" w14:textId="77777777" w:rsidR="006D1736" w:rsidRPr="00490F9F" w:rsidRDefault="006D1736"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Total</w:t>
            </w:r>
          </w:p>
        </w:tc>
        <w:tc>
          <w:tcPr>
            <w:tcW w:w="5670" w:type="dxa"/>
            <w:gridSpan w:val="2"/>
            <w:vAlign w:val="center"/>
          </w:tcPr>
          <w:p w14:paraId="443D8B85" w14:textId="77777777" w:rsidR="006D1736" w:rsidRPr="00490F9F" w:rsidRDefault="006D1736" w:rsidP="00E91CD3">
            <w:pPr>
              <w:spacing w:after="0" w:line="240" w:lineRule="auto"/>
              <w:jc w:val="center"/>
              <w:rPr>
                <w:rFonts w:ascii="Arial" w:hAnsi="Arial" w:cs="Arial"/>
                <w:b/>
                <w:sz w:val="16"/>
                <w:szCs w:val="16"/>
              </w:rPr>
            </w:pPr>
            <w:r w:rsidRPr="00490F9F">
              <w:rPr>
                <w:rFonts w:ascii="Arial" w:hAnsi="Arial" w:cs="Arial"/>
                <w:b/>
                <w:sz w:val="16"/>
                <w:szCs w:val="16"/>
              </w:rPr>
              <w:t>4</w:t>
            </w:r>
          </w:p>
        </w:tc>
      </w:tr>
    </w:tbl>
    <w:p w14:paraId="5AE638E6" w14:textId="6A213061" w:rsidR="001A006F" w:rsidRPr="00122F2C" w:rsidRDefault="00604912"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lastRenderedPageBreak/>
        <w:t>Indi</w:t>
      </w:r>
      <w:r w:rsidR="00A0146E">
        <w:rPr>
          <w:rFonts w:ascii="Arial" w:eastAsia="Times New Roman" w:hAnsi="Arial" w:cs="Arial"/>
          <w:b/>
          <w:snapToGrid w:val="0"/>
          <w:spacing w:val="-3"/>
          <w:szCs w:val="20"/>
          <w:lang w:eastAsia="fr-FR"/>
        </w:rPr>
        <w:t>cator</w:t>
      </w:r>
      <w:r w:rsidR="001C5A91">
        <w:rPr>
          <w:rFonts w:ascii="Arial" w:eastAsia="Times New Roman" w:hAnsi="Arial" w:cs="Arial"/>
          <w:b/>
          <w:snapToGrid w:val="0"/>
          <w:spacing w:val="-3"/>
          <w:szCs w:val="20"/>
          <w:lang w:eastAsia="fr-FR"/>
        </w:rPr>
        <w:t>s</w:t>
      </w:r>
      <w:r w:rsidR="00A0146E">
        <w:rPr>
          <w:rFonts w:ascii="Arial" w:eastAsia="Times New Roman" w:hAnsi="Arial" w:cs="Arial"/>
          <w:b/>
          <w:snapToGrid w:val="0"/>
          <w:spacing w:val="-3"/>
          <w:szCs w:val="20"/>
          <w:lang w:eastAsia="fr-FR"/>
        </w:rPr>
        <w:t xml:space="preserve">: </w:t>
      </w:r>
      <w:r w:rsidR="001A006F" w:rsidRPr="00122F2C">
        <w:rPr>
          <w:rFonts w:ascii="Arial" w:eastAsia="Times New Roman" w:hAnsi="Arial" w:cs="Arial"/>
          <w:b/>
          <w:snapToGrid w:val="0"/>
          <w:spacing w:val="-3"/>
          <w:szCs w:val="20"/>
          <w:lang w:eastAsia="fr-FR"/>
        </w:rPr>
        <w:t xml:space="preserve">Value traded </w:t>
      </w:r>
      <w:r w:rsidR="00122F2C" w:rsidRPr="00122F2C">
        <w:rPr>
          <w:rFonts w:ascii="Arial" w:eastAsia="Times New Roman" w:hAnsi="Arial" w:cs="Arial"/>
          <w:b/>
          <w:snapToGrid w:val="0"/>
          <w:spacing w:val="-3"/>
          <w:szCs w:val="20"/>
          <w:lang w:eastAsia="fr-FR"/>
        </w:rPr>
        <w:t>(EOB, Domestic</w:t>
      </w:r>
      <w:r w:rsidR="001C5A91">
        <w:rPr>
          <w:rFonts w:ascii="Arial" w:eastAsia="Times New Roman" w:hAnsi="Arial" w:cs="Arial"/>
          <w:b/>
          <w:snapToGrid w:val="0"/>
          <w:spacing w:val="-3"/>
          <w:szCs w:val="20"/>
          <w:lang w:eastAsia="fr-FR"/>
        </w:rPr>
        <w:t>,</w:t>
      </w:r>
      <w:r w:rsidR="00C928A5">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Foreign</w:t>
      </w:r>
      <w:r w:rsidR="001C5A91">
        <w:rPr>
          <w:rFonts w:ascii="Arial" w:eastAsia="Times New Roman" w:hAnsi="Arial" w:cs="Arial"/>
          <w:b/>
          <w:snapToGrid w:val="0"/>
          <w:spacing w:val="-3"/>
          <w:szCs w:val="20"/>
          <w:lang w:eastAsia="fr-FR"/>
        </w:rPr>
        <w:t xml:space="preserve"> and Total</w:t>
      </w:r>
      <w:r w:rsidR="00122F2C" w:rsidRPr="00122F2C">
        <w:rPr>
          <w:rFonts w:ascii="Arial" w:eastAsia="Times New Roman" w:hAnsi="Arial" w:cs="Arial"/>
          <w:b/>
          <w:snapToGrid w:val="0"/>
          <w:spacing w:val="-3"/>
          <w:szCs w:val="20"/>
          <w:lang w:eastAsia="fr-FR"/>
        </w:rPr>
        <w:t>)</w:t>
      </w:r>
    </w:p>
    <w:p w14:paraId="67657139" w14:textId="2EF1B2D3" w:rsidR="00122F2C" w:rsidRPr="00122F2C" w:rsidRDefault="00697E05"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w:t>
      </w:r>
      <w:r w:rsidR="001C5A91">
        <w:rPr>
          <w:rFonts w:ascii="Arial" w:eastAsia="Times New Roman" w:hAnsi="Arial" w:cs="Arial"/>
          <w:b/>
          <w:snapToGrid w:val="0"/>
          <w:spacing w:val="-3"/>
          <w:szCs w:val="20"/>
          <w:lang w:eastAsia="fr-FR"/>
        </w:rPr>
        <w:t>s</w:t>
      </w:r>
      <w:r>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Value traded (Negotiated Deals, Domestic</w:t>
      </w:r>
      <w:r w:rsidR="001C5A91">
        <w:rPr>
          <w:rFonts w:ascii="Arial" w:eastAsia="Times New Roman" w:hAnsi="Arial" w:cs="Arial"/>
          <w:b/>
          <w:snapToGrid w:val="0"/>
          <w:spacing w:val="-3"/>
          <w:szCs w:val="20"/>
          <w:lang w:eastAsia="fr-FR"/>
        </w:rPr>
        <w:t>,</w:t>
      </w:r>
      <w:r w:rsidR="00122F2C" w:rsidRPr="00122F2C">
        <w:rPr>
          <w:rFonts w:ascii="Arial" w:eastAsia="Times New Roman" w:hAnsi="Arial" w:cs="Arial"/>
          <w:b/>
          <w:snapToGrid w:val="0"/>
          <w:spacing w:val="-3"/>
          <w:szCs w:val="20"/>
          <w:lang w:eastAsia="fr-FR"/>
        </w:rPr>
        <w:t xml:space="preserve"> Foreign</w:t>
      </w:r>
      <w:r w:rsidR="001C5A91">
        <w:rPr>
          <w:rFonts w:ascii="Arial" w:eastAsia="Times New Roman" w:hAnsi="Arial" w:cs="Arial"/>
          <w:b/>
          <w:snapToGrid w:val="0"/>
          <w:spacing w:val="-3"/>
          <w:szCs w:val="20"/>
          <w:lang w:eastAsia="fr-FR"/>
        </w:rPr>
        <w:t xml:space="preserve"> and Total</w:t>
      </w:r>
      <w:r w:rsidR="00122F2C" w:rsidRPr="00122F2C">
        <w:rPr>
          <w:rFonts w:ascii="Arial" w:eastAsia="Times New Roman" w:hAnsi="Arial" w:cs="Arial"/>
          <w:b/>
          <w:snapToGrid w:val="0"/>
          <w:spacing w:val="-3"/>
          <w:szCs w:val="20"/>
          <w:lang w:eastAsia="fr-FR"/>
        </w:rPr>
        <w:t>)</w:t>
      </w:r>
    </w:p>
    <w:p w14:paraId="66AECADC" w14:textId="09661D53" w:rsidR="00122F2C" w:rsidRDefault="00697E05"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w:t>
      </w:r>
      <w:r w:rsidR="001C5A91">
        <w:rPr>
          <w:rFonts w:ascii="Arial" w:eastAsia="Times New Roman" w:hAnsi="Arial" w:cs="Arial"/>
          <w:b/>
          <w:snapToGrid w:val="0"/>
          <w:spacing w:val="-3"/>
          <w:szCs w:val="20"/>
          <w:lang w:eastAsia="fr-FR"/>
        </w:rPr>
        <w:t>s</w:t>
      </w:r>
      <w:r>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Value traded (Reported Trades, Domestic</w:t>
      </w:r>
      <w:r w:rsidR="001C5A91">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Foreign</w:t>
      </w:r>
      <w:r w:rsidR="001C5A91">
        <w:rPr>
          <w:rFonts w:ascii="Arial" w:eastAsia="Times New Roman" w:hAnsi="Arial" w:cs="Arial"/>
          <w:b/>
          <w:snapToGrid w:val="0"/>
          <w:spacing w:val="-3"/>
          <w:szCs w:val="20"/>
          <w:lang w:eastAsia="fr-FR"/>
        </w:rPr>
        <w:t xml:space="preserve"> and Total</w:t>
      </w:r>
      <w:r w:rsidR="00122F2C" w:rsidRPr="00122F2C">
        <w:rPr>
          <w:rFonts w:ascii="Arial" w:eastAsia="Times New Roman" w:hAnsi="Arial" w:cs="Arial"/>
          <w:b/>
          <w:snapToGrid w:val="0"/>
          <w:spacing w:val="-3"/>
          <w:szCs w:val="20"/>
          <w:lang w:eastAsia="fr-FR"/>
        </w:rPr>
        <w:t>)</w:t>
      </w:r>
    </w:p>
    <w:p w14:paraId="0D4F4856" w14:textId="77777777" w:rsidR="00BF3E90" w:rsidRDefault="00BF3E90" w:rsidP="00E91CD3">
      <w:pPr>
        <w:suppressAutoHyphens/>
        <w:spacing w:after="0" w:line="240" w:lineRule="auto"/>
        <w:jc w:val="both"/>
        <w:rPr>
          <w:rFonts w:ascii="Arial" w:hAnsi="Arial" w:cs="Arial"/>
          <w:spacing w:val="-3"/>
          <w:sz w:val="20"/>
        </w:rPr>
      </w:pPr>
    </w:p>
    <w:p w14:paraId="08E26050" w14:textId="555DDF60" w:rsidR="0099392D" w:rsidRPr="00DE50B4" w:rsidRDefault="0099392D" w:rsidP="00E91CD3">
      <w:pPr>
        <w:suppressAutoHyphens/>
        <w:spacing w:after="0" w:line="240" w:lineRule="auto"/>
        <w:jc w:val="both"/>
        <w:rPr>
          <w:rFonts w:ascii="Arial" w:hAnsi="Arial" w:cs="Arial"/>
          <w:bCs/>
          <w:sz w:val="20"/>
        </w:rPr>
      </w:pPr>
      <w:r w:rsidRPr="00490F9F">
        <w:rPr>
          <w:rFonts w:ascii="Arial" w:hAnsi="Arial" w:cs="Arial"/>
          <w:spacing w:val="-3"/>
          <w:sz w:val="20"/>
        </w:rPr>
        <w:t xml:space="preserve">The </w:t>
      </w:r>
      <w:r w:rsidR="002F46D5">
        <w:rPr>
          <w:rFonts w:ascii="Arial" w:hAnsi="Arial" w:cs="Arial"/>
          <w:spacing w:val="-3"/>
          <w:sz w:val="20"/>
        </w:rPr>
        <w:t>value traded</w:t>
      </w:r>
      <w:r w:rsidRPr="00490F9F">
        <w:rPr>
          <w:rFonts w:ascii="Arial" w:hAnsi="Arial" w:cs="Arial"/>
          <w:spacing w:val="-3"/>
          <w:sz w:val="20"/>
        </w:rPr>
        <w:t xml:space="preserve"> is the total number of shares traded</w:t>
      </w:r>
      <w:r>
        <w:rPr>
          <w:rFonts w:ascii="Arial" w:hAnsi="Arial" w:cs="Arial"/>
          <w:spacing w:val="-3"/>
          <w:sz w:val="20"/>
        </w:rPr>
        <w:t>,</w:t>
      </w:r>
      <w:r w:rsidRPr="00490F9F">
        <w:rPr>
          <w:rFonts w:ascii="Arial" w:hAnsi="Arial" w:cs="Arial"/>
          <w:spacing w:val="-3"/>
          <w:sz w:val="20"/>
        </w:rPr>
        <w:t xml:space="preserve"> multiplied by their respective matching prices. </w:t>
      </w:r>
      <w:r>
        <w:rPr>
          <w:rFonts w:ascii="Arial" w:hAnsi="Arial" w:cs="Arial"/>
          <w:spacing w:val="-3"/>
          <w:sz w:val="20"/>
        </w:rPr>
        <w:t>The data includes trades in c</w:t>
      </w:r>
      <w:r w:rsidRPr="00490F9F">
        <w:rPr>
          <w:rFonts w:ascii="Arial" w:hAnsi="Arial" w:cs="Arial"/>
          <w:spacing w:val="-3"/>
          <w:sz w:val="20"/>
        </w:rPr>
        <w:t>ompa</w:t>
      </w:r>
      <w:r>
        <w:rPr>
          <w:rFonts w:ascii="Arial" w:hAnsi="Arial" w:cs="Arial"/>
          <w:spacing w:val="-3"/>
          <w:sz w:val="20"/>
        </w:rPr>
        <w:t xml:space="preserve">nies </w:t>
      </w:r>
      <w:r w:rsidRPr="00490F9F">
        <w:rPr>
          <w:rFonts w:ascii="Arial" w:hAnsi="Arial" w:cs="Arial"/>
          <w:spacing w:val="-3"/>
          <w:sz w:val="20"/>
        </w:rPr>
        <w:t xml:space="preserve">admitted to listing and </w:t>
      </w:r>
      <w:r>
        <w:rPr>
          <w:rFonts w:ascii="Arial" w:hAnsi="Arial" w:cs="Arial"/>
          <w:spacing w:val="-3"/>
          <w:sz w:val="20"/>
        </w:rPr>
        <w:t xml:space="preserve">companies </w:t>
      </w:r>
      <w:r w:rsidRPr="00490F9F">
        <w:rPr>
          <w:rFonts w:ascii="Arial" w:hAnsi="Arial" w:cs="Arial"/>
          <w:spacing w:val="-3"/>
          <w:sz w:val="20"/>
        </w:rPr>
        <w:t>admitted to trading.</w:t>
      </w:r>
    </w:p>
    <w:p w14:paraId="03ADC403" w14:textId="77777777" w:rsidR="00EB0C9F" w:rsidRDefault="00EB0C9F" w:rsidP="00E91CD3">
      <w:pPr>
        <w:suppressAutoHyphens/>
        <w:spacing w:after="0" w:line="240" w:lineRule="auto"/>
        <w:jc w:val="both"/>
        <w:rPr>
          <w:rFonts w:ascii="Arial" w:hAnsi="Arial" w:cs="Arial"/>
          <w:spacing w:val="-3"/>
          <w:sz w:val="20"/>
        </w:rPr>
      </w:pPr>
    </w:p>
    <w:p w14:paraId="45A0DD6F" w14:textId="637B3B0F" w:rsidR="0099392D" w:rsidRPr="00490F9F" w:rsidRDefault="0099392D"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In order to achieve a more complete view of market activity, </w:t>
      </w:r>
      <w:r w:rsidR="00034C35">
        <w:rPr>
          <w:rFonts w:ascii="Arial" w:hAnsi="Arial" w:cs="Arial"/>
          <w:spacing w:val="-3"/>
          <w:sz w:val="20"/>
        </w:rPr>
        <w:t>Value Traded</w:t>
      </w:r>
      <w:r w:rsidRPr="00490F9F">
        <w:rPr>
          <w:rFonts w:ascii="Arial" w:hAnsi="Arial" w:cs="Arial"/>
          <w:spacing w:val="-3"/>
          <w:sz w:val="20"/>
        </w:rPr>
        <w:t xml:space="preserve"> is split into three main categories of trades according to the facility / means used to execute the </w:t>
      </w:r>
      <w:r w:rsidR="00B778FD">
        <w:rPr>
          <w:rFonts w:ascii="Arial" w:hAnsi="Arial" w:cs="Arial"/>
          <w:spacing w:val="-3"/>
          <w:sz w:val="20"/>
        </w:rPr>
        <w:t>trade</w:t>
      </w:r>
      <w:r w:rsidR="00034C35">
        <w:rPr>
          <w:rFonts w:ascii="Arial" w:hAnsi="Arial" w:cs="Arial"/>
          <w:spacing w:val="-3"/>
          <w:sz w:val="20"/>
        </w:rPr>
        <w:t>,</w:t>
      </w:r>
      <w:r w:rsidR="00734239">
        <w:rPr>
          <w:rFonts w:ascii="Arial" w:hAnsi="Arial" w:cs="Arial"/>
          <w:spacing w:val="-3"/>
          <w:sz w:val="20"/>
        </w:rPr>
        <w:t xml:space="preserve"> namely</w:t>
      </w:r>
      <w:r w:rsidR="00EB0C9F">
        <w:rPr>
          <w:rFonts w:ascii="Arial" w:hAnsi="Arial" w:cs="Arial"/>
          <w:spacing w:val="-3"/>
          <w:sz w:val="20"/>
        </w:rPr>
        <w:t xml:space="preserve"> </w:t>
      </w:r>
      <w:r w:rsidR="00734239" w:rsidRPr="00734239">
        <w:rPr>
          <w:rFonts w:ascii="Arial" w:hAnsi="Arial" w:cs="Arial"/>
          <w:color w:val="1F3864" w:themeColor="accent1" w:themeShade="80"/>
          <w:spacing w:val="-3"/>
          <w:sz w:val="20"/>
          <w:szCs w:val="20"/>
          <w:u w:val="single"/>
        </w:rPr>
        <w:fldChar w:fldCharType="begin"/>
      </w:r>
      <w:r w:rsidR="00734239" w:rsidRPr="00734239">
        <w:rPr>
          <w:rFonts w:ascii="Arial" w:hAnsi="Arial" w:cs="Arial"/>
          <w:color w:val="1F3864" w:themeColor="accent1" w:themeShade="80"/>
          <w:spacing w:val="-3"/>
          <w:sz w:val="20"/>
          <w:szCs w:val="20"/>
          <w:u w:val="single"/>
        </w:rPr>
        <w:instrText xml:space="preserve"> REF _Ref13572577 \h  \* MERGEFORMAT </w:instrText>
      </w:r>
      <w:r w:rsidR="00734239" w:rsidRPr="00734239">
        <w:rPr>
          <w:rFonts w:ascii="Arial" w:hAnsi="Arial" w:cs="Arial"/>
          <w:color w:val="1F3864" w:themeColor="accent1" w:themeShade="80"/>
          <w:spacing w:val="-3"/>
          <w:sz w:val="20"/>
          <w:szCs w:val="20"/>
          <w:u w:val="single"/>
        </w:rPr>
      </w:r>
      <w:r w:rsidR="00734239" w:rsidRPr="00734239">
        <w:rPr>
          <w:rFonts w:ascii="Arial" w:hAnsi="Arial" w:cs="Arial"/>
          <w:color w:val="1F3864" w:themeColor="accent1" w:themeShade="80"/>
          <w:spacing w:val="-3"/>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00734239" w:rsidRPr="00734239">
        <w:rPr>
          <w:rFonts w:ascii="Arial" w:hAnsi="Arial" w:cs="Arial"/>
          <w:color w:val="1F3864" w:themeColor="accent1" w:themeShade="80"/>
          <w:spacing w:val="-3"/>
          <w:sz w:val="20"/>
          <w:szCs w:val="20"/>
          <w:u w:val="single"/>
        </w:rPr>
        <w:fldChar w:fldCharType="end"/>
      </w:r>
      <w:r w:rsidR="005D10AE">
        <w:rPr>
          <w:rFonts w:ascii="Arial" w:hAnsi="Arial" w:cs="Arial"/>
          <w:color w:val="1F3864" w:themeColor="accent1" w:themeShade="80"/>
          <w:spacing w:val="-3"/>
          <w:sz w:val="20"/>
          <w:szCs w:val="20"/>
          <w:u w:val="single"/>
        </w:rPr>
        <w:t>,</w:t>
      </w:r>
      <w:r w:rsidR="00034C35" w:rsidRPr="00734239">
        <w:rPr>
          <w:rFonts w:ascii="Arial" w:hAnsi="Arial" w:cs="Arial"/>
          <w:color w:val="1F3864" w:themeColor="accent1" w:themeShade="80"/>
          <w:spacing w:val="-3"/>
          <w:sz w:val="20"/>
          <w:szCs w:val="20"/>
          <w:u w:val="single"/>
        </w:rPr>
        <w:t xml:space="preserve"> </w:t>
      </w:r>
      <w:r w:rsidR="0037183B" w:rsidRPr="000B331A">
        <w:rPr>
          <w:rFonts w:ascii="Arial" w:hAnsi="Arial" w:cs="Arial"/>
          <w:color w:val="1F3864" w:themeColor="accent1" w:themeShade="80"/>
          <w:sz w:val="20"/>
          <w:szCs w:val="20"/>
          <w:u w:val="single"/>
        </w:rPr>
        <w:fldChar w:fldCharType="begin"/>
      </w:r>
      <w:r w:rsidR="0037183B" w:rsidRPr="000B331A">
        <w:rPr>
          <w:rFonts w:ascii="Arial" w:hAnsi="Arial" w:cs="Arial"/>
          <w:color w:val="1F3864" w:themeColor="accent1" w:themeShade="80"/>
          <w:sz w:val="20"/>
          <w:szCs w:val="20"/>
          <w:u w:val="single"/>
        </w:rPr>
        <w:instrText xml:space="preserve"> REF _Ref13572784 \h  \* MERGEFORMAT </w:instrText>
      </w:r>
      <w:r w:rsidR="0037183B" w:rsidRPr="000B331A">
        <w:rPr>
          <w:rFonts w:ascii="Arial" w:hAnsi="Arial" w:cs="Arial"/>
          <w:color w:val="1F3864" w:themeColor="accent1" w:themeShade="80"/>
          <w:sz w:val="20"/>
          <w:szCs w:val="20"/>
          <w:u w:val="single"/>
        </w:rPr>
      </w:r>
      <w:r w:rsidR="0037183B"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sidR="0037183B" w:rsidRPr="000B331A">
        <w:rPr>
          <w:rFonts w:ascii="Arial" w:hAnsi="Arial" w:cs="Arial"/>
          <w:color w:val="1F3864" w:themeColor="accent1" w:themeShade="80"/>
          <w:sz w:val="20"/>
          <w:szCs w:val="20"/>
          <w:u w:val="single"/>
        </w:rPr>
        <w:fldChar w:fldCharType="end"/>
      </w:r>
      <w:r w:rsidR="00034C35" w:rsidRPr="000B331A">
        <w:rPr>
          <w:rFonts w:ascii="Arial" w:hAnsi="Arial" w:cs="Arial"/>
          <w:color w:val="1F3864" w:themeColor="accent1" w:themeShade="80"/>
          <w:sz w:val="20"/>
          <w:szCs w:val="20"/>
          <w:u w:val="single"/>
        </w:rPr>
        <w:t>,</w:t>
      </w:r>
      <w:r w:rsidR="00734239" w:rsidRPr="000E5783">
        <w:rPr>
          <w:rFonts w:ascii="Arial" w:hAnsi="Arial" w:cs="Arial"/>
          <w:color w:val="1F3864" w:themeColor="accent1" w:themeShade="80"/>
          <w:sz w:val="20"/>
          <w:szCs w:val="20"/>
        </w:rPr>
        <w:t xml:space="preserve"> </w:t>
      </w:r>
      <w:r w:rsidR="00034C35" w:rsidRPr="000E5783">
        <w:rPr>
          <w:rFonts w:ascii="Arial" w:hAnsi="Arial" w:cs="Arial"/>
          <w:color w:val="1F3864" w:themeColor="accent1" w:themeShade="80"/>
          <w:sz w:val="20"/>
          <w:szCs w:val="20"/>
        </w:rPr>
        <w:t xml:space="preserve"> </w:t>
      </w:r>
      <w:r w:rsidR="005B3C1C" w:rsidRPr="000B331A">
        <w:rPr>
          <w:rFonts w:ascii="Arial" w:hAnsi="Arial" w:cs="Arial"/>
          <w:color w:val="1F3864" w:themeColor="accent1" w:themeShade="80"/>
          <w:sz w:val="20"/>
          <w:szCs w:val="20"/>
          <w:u w:val="single"/>
        </w:rPr>
        <w:fldChar w:fldCharType="begin"/>
      </w:r>
      <w:r w:rsidR="005B3C1C" w:rsidRPr="000B331A">
        <w:rPr>
          <w:rFonts w:ascii="Arial" w:hAnsi="Arial" w:cs="Arial"/>
          <w:color w:val="1F3864" w:themeColor="accent1" w:themeShade="80"/>
          <w:sz w:val="20"/>
          <w:szCs w:val="20"/>
          <w:u w:val="single"/>
        </w:rPr>
        <w:instrText xml:space="preserve"> REF _Ref13573188 \h  \* MERGEFORMAT </w:instrText>
      </w:r>
      <w:r w:rsidR="005B3C1C" w:rsidRPr="000B331A">
        <w:rPr>
          <w:rFonts w:ascii="Arial" w:hAnsi="Arial" w:cs="Arial"/>
          <w:color w:val="1F3864" w:themeColor="accent1" w:themeShade="80"/>
          <w:sz w:val="20"/>
          <w:szCs w:val="20"/>
          <w:u w:val="single"/>
        </w:rPr>
      </w:r>
      <w:r w:rsidR="005B3C1C"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Reported Trades</w:t>
      </w:r>
      <w:r w:rsidR="005B3C1C" w:rsidRPr="000B331A">
        <w:rPr>
          <w:rFonts w:ascii="Arial" w:hAnsi="Arial" w:cs="Arial"/>
          <w:color w:val="1F3864" w:themeColor="accent1" w:themeShade="80"/>
          <w:sz w:val="20"/>
          <w:szCs w:val="20"/>
          <w:u w:val="single"/>
        </w:rPr>
        <w:fldChar w:fldCharType="end"/>
      </w:r>
      <w:r w:rsidR="00034C35">
        <w:rPr>
          <w:rFonts w:ascii="Arial" w:hAnsi="Arial" w:cs="Arial"/>
          <w:spacing w:val="-3"/>
          <w:sz w:val="20"/>
        </w:rPr>
        <w:t>.</w:t>
      </w:r>
    </w:p>
    <w:p w14:paraId="36154848" w14:textId="77777777" w:rsidR="006834FA" w:rsidRDefault="006834FA" w:rsidP="00E91CD3">
      <w:pPr>
        <w:suppressAutoHyphens/>
        <w:spacing w:after="0" w:line="240" w:lineRule="auto"/>
        <w:jc w:val="both"/>
        <w:rPr>
          <w:rFonts w:ascii="Arial" w:hAnsi="Arial" w:cs="Arial"/>
          <w:spacing w:val="-3"/>
          <w:sz w:val="20"/>
        </w:rPr>
      </w:pPr>
    </w:p>
    <w:p w14:paraId="3DD705D4" w14:textId="774E448F" w:rsidR="00736025" w:rsidRDefault="00F67819" w:rsidP="00E91CD3">
      <w:pPr>
        <w:suppressAutoHyphens/>
        <w:spacing w:after="0" w:line="240" w:lineRule="auto"/>
        <w:jc w:val="both"/>
        <w:rPr>
          <w:rFonts w:ascii="Arial" w:hAnsi="Arial" w:cs="Arial"/>
          <w:spacing w:val="-3"/>
          <w:sz w:val="20"/>
        </w:rPr>
      </w:pPr>
      <w:r>
        <w:rPr>
          <w:rFonts w:ascii="Arial" w:hAnsi="Arial" w:cs="Arial"/>
          <w:spacing w:val="-3"/>
          <w:sz w:val="20"/>
        </w:rPr>
        <w:t xml:space="preserve">Across all of these dimensions, </w:t>
      </w:r>
      <w:r w:rsidR="00736025">
        <w:rPr>
          <w:rFonts w:ascii="Arial" w:hAnsi="Arial" w:cs="Arial"/>
          <w:spacing w:val="-3"/>
          <w:sz w:val="20"/>
        </w:rPr>
        <w:t xml:space="preserve">the value traded is further broken down into </w:t>
      </w:r>
      <w:r w:rsidR="0099392D">
        <w:rPr>
          <w:rFonts w:ascii="Arial" w:hAnsi="Arial" w:cs="Arial"/>
          <w:spacing w:val="-3"/>
          <w:sz w:val="20"/>
        </w:rPr>
        <w:t xml:space="preserve">the </w:t>
      </w:r>
      <w:r w:rsidR="00944D15">
        <w:rPr>
          <w:rFonts w:ascii="Arial" w:hAnsi="Arial" w:cs="Arial"/>
          <w:spacing w:val="-3"/>
          <w:sz w:val="20"/>
        </w:rPr>
        <w:t>value traded</w:t>
      </w:r>
      <w:r w:rsidR="0099392D">
        <w:rPr>
          <w:rFonts w:ascii="Arial" w:hAnsi="Arial" w:cs="Arial"/>
          <w:spacing w:val="-3"/>
          <w:sz w:val="20"/>
        </w:rPr>
        <w:t xml:space="preserve"> </w:t>
      </w:r>
      <w:r w:rsidR="0099392D" w:rsidRPr="00CF79EE">
        <w:rPr>
          <w:rFonts w:ascii="Arial" w:hAnsi="Arial" w:cs="Arial"/>
          <w:spacing w:val="-3"/>
          <w:sz w:val="20"/>
        </w:rPr>
        <w:t xml:space="preserve">in </w:t>
      </w:r>
      <w:r w:rsidR="00CF79EE" w:rsidRPr="000B331A">
        <w:rPr>
          <w:rFonts w:ascii="Arial" w:hAnsi="Arial" w:cs="Arial"/>
          <w:color w:val="1F3864" w:themeColor="accent1" w:themeShade="80"/>
          <w:sz w:val="20"/>
          <w:szCs w:val="20"/>
          <w:u w:val="single"/>
        </w:rPr>
        <w:fldChar w:fldCharType="begin"/>
      </w:r>
      <w:r w:rsidR="00CF79EE" w:rsidRPr="000B331A">
        <w:rPr>
          <w:rFonts w:ascii="Arial" w:hAnsi="Arial" w:cs="Arial"/>
          <w:color w:val="1F3864" w:themeColor="accent1" w:themeShade="80"/>
          <w:sz w:val="20"/>
          <w:szCs w:val="20"/>
          <w:u w:val="single"/>
        </w:rPr>
        <w:instrText xml:space="preserve"> REF _Ref13563231 \h  \* MERGEFORMAT </w:instrText>
      </w:r>
      <w:r w:rsidR="00CF79EE" w:rsidRPr="000B331A">
        <w:rPr>
          <w:rFonts w:ascii="Arial" w:hAnsi="Arial" w:cs="Arial"/>
          <w:color w:val="1F3864" w:themeColor="accent1" w:themeShade="80"/>
          <w:sz w:val="20"/>
          <w:szCs w:val="20"/>
          <w:u w:val="single"/>
        </w:rPr>
      </w:r>
      <w:r w:rsidR="00CF79EE"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Domestic Companies</w:t>
      </w:r>
      <w:r w:rsidR="00CF79EE" w:rsidRPr="000B331A">
        <w:rPr>
          <w:rFonts w:ascii="Arial" w:hAnsi="Arial" w:cs="Arial"/>
          <w:color w:val="1F3864" w:themeColor="accent1" w:themeShade="80"/>
          <w:sz w:val="20"/>
          <w:szCs w:val="20"/>
          <w:u w:val="single"/>
        </w:rPr>
        <w:fldChar w:fldCharType="end"/>
      </w:r>
      <w:r w:rsidR="0099392D">
        <w:rPr>
          <w:rFonts w:ascii="Arial" w:hAnsi="Arial" w:cs="Arial"/>
          <w:spacing w:val="-3"/>
          <w:sz w:val="20"/>
        </w:rPr>
        <w:t xml:space="preserve"> </w:t>
      </w:r>
      <w:r w:rsidR="0099392D" w:rsidRPr="00490F9F">
        <w:rPr>
          <w:rFonts w:ascii="Arial" w:hAnsi="Arial" w:cs="Arial"/>
          <w:spacing w:val="-3"/>
          <w:sz w:val="20"/>
        </w:rPr>
        <w:t xml:space="preserve">and </w:t>
      </w:r>
      <w:r w:rsidR="00CF79EE" w:rsidRPr="000B331A">
        <w:rPr>
          <w:rFonts w:ascii="Arial" w:hAnsi="Arial" w:cs="Arial"/>
          <w:color w:val="1F3864" w:themeColor="accent1" w:themeShade="80"/>
          <w:sz w:val="20"/>
          <w:szCs w:val="20"/>
          <w:u w:val="single"/>
        </w:rPr>
        <w:fldChar w:fldCharType="begin"/>
      </w:r>
      <w:r w:rsidR="00CF79EE" w:rsidRPr="000B331A">
        <w:rPr>
          <w:rFonts w:ascii="Arial" w:hAnsi="Arial" w:cs="Arial"/>
          <w:color w:val="1F3864" w:themeColor="accent1" w:themeShade="80"/>
          <w:sz w:val="20"/>
          <w:szCs w:val="20"/>
          <w:u w:val="single"/>
        </w:rPr>
        <w:instrText xml:space="preserve"> REF _Ref13563374 \h  \* MERGEFORMAT </w:instrText>
      </w:r>
      <w:r w:rsidR="00CF79EE" w:rsidRPr="000B331A">
        <w:rPr>
          <w:rFonts w:ascii="Arial" w:hAnsi="Arial" w:cs="Arial"/>
          <w:color w:val="1F3864" w:themeColor="accent1" w:themeShade="80"/>
          <w:sz w:val="20"/>
          <w:szCs w:val="20"/>
          <w:u w:val="single"/>
        </w:rPr>
      </w:r>
      <w:r w:rsidR="00CF79EE"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Foreign Companies</w:t>
      </w:r>
      <w:r w:rsidR="00CF79EE" w:rsidRPr="000B331A">
        <w:rPr>
          <w:rFonts w:ascii="Arial" w:hAnsi="Arial" w:cs="Arial"/>
          <w:color w:val="1F3864" w:themeColor="accent1" w:themeShade="80"/>
          <w:sz w:val="20"/>
          <w:szCs w:val="20"/>
          <w:u w:val="single"/>
        </w:rPr>
        <w:fldChar w:fldCharType="end"/>
      </w:r>
      <w:r w:rsidR="00736025">
        <w:rPr>
          <w:rFonts w:ascii="Arial" w:hAnsi="Arial" w:cs="Arial"/>
          <w:spacing w:val="-3"/>
          <w:sz w:val="20"/>
        </w:rPr>
        <w:t>.</w:t>
      </w:r>
    </w:p>
    <w:p w14:paraId="55D3B59B" w14:textId="77777777" w:rsidR="006834FA" w:rsidRDefault="006834FA" w:rsidP="00E91CD3">
      <w:pPr>
        <w:suppressAutoHyphens/>
        <w:spacing w:after="0" w:line="240" w:lineRule="auto"/>
        <w:jc w:val="both"/>
        <w:rPr>
          <w:rFonts w:ascii="Arial" w:hAnsi="Arial" w:cs="Arial"/>
          <w:spacing w:val="-3"/>
          <w:sz w:val="20"/>
        </w:rPr>
      </w:pPr>
    </w:p>
    <w:p w14:paraId="0347E36A" w14:textId="6982B12B" w:rsidR="001B7C9D" w:rsidRDefault="001B7C9D"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Figures are </w:t>
      </w:r>
      <w:r w:rsidR="00122786">
        <w:rPr>
          <w:rFonts w:ascii="Arial" w:hAnsi="Arial" w:cs="Arial"/>
          <w:spacing w:val="-3"/>
          <w:sz w:val="20"/>
        </w:rPr>
        <w:t>single counted (</w:t>
      </w:r>
      <w:r w:rsidR="000B331A" w:rsidRPr="00490F9F">
        <w:rPr>
          <w:rFonts w:ascii="Arial" w:hAnsi="Arial" w:cs="Arial"/>
          <w:spacing w:val="-3"/>
          <w:sz w:val="20"/>
        </w:rPr>
        <w:t>i.e., includes one side of the transaction only</w:t>
      </w:r>
      <w:r w:rsidRPr="00490F9F">
        <w:rPr>
          <w:rFonts w:ascii="Arial" w:hAnsi="Arial" w:cs="Arial"/>
          <w:spacing w:val="-3"/>
          <w:sz w:val="20"/>
        </w:rPr>
        <w:t>).</w:t>
      </w:r>
    </w:p>
    <w:p w14:paraId="0F8F46FE" w14:textId="77777777" w:rsidR="006834FA" w:rsidRDefault="006834FA" w:rsidP="00E91CD3">
      <w:pPr>
        <w:suppressAutoHyphens/>
        <w:spacing w:after="0" w:line="240" w:lineRule="auto"/>
        <w:jc w:val="both"/>
        <w:rPr>
          <w:rFonts w:ascii="Arial" w:hAnsi="Arial" w:cs="Arial"/>
          <w:spacing w:val="-3"/>
          <w:sz w:val="20"/>
        </w:rPr>
      </w:pPr>
    </w:p>
    <w:p w14:paraId="24DB2514" w14:textId="4FCE6CDA" w:rsidR="0099392D" w:rsidRDefault="00736025" w:rsidP="00E91CD3">
      <w:pPr>
        <w:suppressAutoHyphens/>
        <w:spacing w:after="0" w:line="240" w:lineRule="auto"/>
        <w:jc w:val="both"/>
        <w:rPr>
          <w:rFonts w:ascii="Arial" w:hAnsi="Arial" w:cs="Arial"/>
          <w:spacing w:val="-3"/>
          <w:sz w:val="20"/>
        </w:rPr>
      </w:pPr>
      <w:r>
        <w:rPr>
          <w:rFonts w:ascii="Arial" w:hAnsi="Arial" w:cs="Arial"/>
          <w:spacing w:val="-3"/>
          <w:sz w:val="20"/>
        </w:rPr>
        <w:t>Totals are provided within EOB, Negotiated Deals and Reported Trades</w:t>
      </w:r>
      <w:r w:rsidR="00E52E14">
        <w:rPr>
          <w:rFonts w:ascii="Arial" w:hAnsi="Arial" w:cs="Arial"/>
          <w:spacing w:val="-3"/>
          <w:sz w:val="20"/>
        </w:rPr>
        <w:t xml:space="preserve"> but are not summed across EOB, Negotiated Deals and Reported Trades.</w:t>
      </w:r>
    </w:p>
    <w:p w14:paraId="3D32C7DA" w14:textId="77777777" w:rsidR="006834FA" w:rsidRPr="00DE50B4" w:rsidRDefault="006834FA" w:rsidP="00E91CD3">
      <w:pPr>
        <w:suppressAutoHyphens/>
        <w:spacing w:after="0" w:line="240" w:lineRule="auto"/>
        <w:jc w:val="both"/>
        <w:rPr>
          <w:rFonts w:ascii="Arial" w:hAnsi="Arial" w:cs="Arial"/>
          <w:bCs/>
          <w:sz w:val="20"/>
        </w:rPr>
      </w:pPr>
    </w:p>
    <w:tbl>
      <w:tblPr>
        <w:tblW w:w="970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0" w:type="dxa"/>
          <w:bottom w:w="28" w:type="dxa"/>
          <w:right w:w="0" w:type="dxa"/>
        </w:tblCellMar>
        <w:tblLook w:val="0000" w:firstRow="0" w:lastRow="0" w:firstColumn="0" w:lastColumn="0" w:noHBand="0" w:noVBand="0"/>
      </w:tblPr>
      <w:tblGrid>
        <w:gridCol w:w="567"/>
        <w:gridCol w:w="1134"/>
        <w:gridCol w:w="1241"/>
        <w:gridCol w:w="1311"/>
        <w:gridCol w:w="850"/>
        <w:gridCol w:w="567"/>
        <w:gridCol w:w="1418"/>
        <w:gridCol w:w="1134"/>
        <w:gridCol w:w="1483"/>
      </w:tblGrid>
      <w:tr w:rsidR="0099392D" w:rsidRPr="00490F9F" w14:paraId="1EF36495" w14:textId="77777777" w:rsidTr="00805637">
        <w:trPr>
          <w:cantSplit/>
          <w:trHeight w:val="20"/>
        </w:trPr>
        <w:tc>
          <w:tcPr>
            <w:tcW w:w="567" w:type="dxa"/>
            <w:vMerge w:val="restart"/>
            <w:shd w:val="clear" w:color="auto" w:fill="00709E"/>
            <w:noWrap/>
            <w:tcMar>
              <w:top w:w="15" w:type="dxa"/>
              <w:left w:w="15" w:type="dxa"/>
              <w:bottom w:w="0" w:type="dxa"/>
              <w:right w:w="15" w:type="dxa"/>
            </w:tcMar>
            <w:vAlign w:val="center"/>
          </w:tcPr>
          <w:p w14:paraId="40928393" w14:textId="77777777" w:rsidR="006834FA" w:rsidRDefault="006834FA" w:rsidP="00E91CD3">
            <w:pPr>
              <w:spacing w:after="0" w:line="240" w:lineRule="auto"/>
              <w:jc w:val="center"/>
              <w:rPr>
                <w:rFonts w:ascii="Arial" w:hAnsi="Arial" w:cs="Arial"/>
                <w:b/>
                <w:bCs/>
                <w:color w:val="FFFFFF"/>
                <w:sz w:val="16"/>
                <w:szCs w:val="16"/>
              </w:rPr>
            </w:pPr>
          </w:p>
          <w:p w14:paraId="3C4F4543" w14:textId="06A344C9"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Trade</w:t>
            </w:r>
          </w:p>
        </w:tc>
        <w:tc>
          <w:tcPr>
            <w:tcW w:w="1134" w:type="dxa"/>
            <w:vMerge w:val="restart"/>
            <w:shd w:val="clear" w:color="auto" w:fill="00709E"/>
            <w:noWrap/>
            <w:tcMar>
              <w:top w:w="15" w:type="dxa"/>
              <w:left w:w="15" w:type="dxa"/>
              <w:bottom w:w="0" w:type="dxa"/>
              <w:right w:w="15" w:type="dxa"/>
            </w:tcMar>
            <w:vAlign w:val="center"/>
          </w:tcPr>
          <w:p w14:paraId="4820EBD0"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Buyer</w:t>
            </w:r>
          </w:p>
        </w:tc>
        <w:tc>
          <w:tcPr>
            <w:tcW w:w="1241" w:type="dxa"/>
            <w:vMerge w:val="restart"/>
            <w:shd w:val="clear" w:color="auto" w:fill="00709E"/>
            <w:noWrap/>
            <w:tcMar>
              <w:top w:w="15" w:type="dxa"/>
              <w:left w:w="15" w:type="dxa"/>
              <w:bottom w:w="0" w:type="dxa"/>
              <w:right w:w="15" w:type="dxa"/>
            </w:tcMar>
            <w:vAlign w:val="center"/>
          </w:tcPr>
          <w:p w14:paraId="3203678D"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Seller</w:t>
            </w:r>
          </w:p>
        </w:tc>
        <w:tc>
          <w:tcPr>
            <w:tcW w:w="1311" w:type="dxa"/>
            <w:vMerge w:val="restart"/>
            <w:shd w:val="clear" w:color="auto" w:fill="00709E"/>
            <w:noWrap/>
            <w:tcMar>
              <w:top w:w="15" w:type="dxa"/>
              <w:left w:w="15" w:type="dxa"/>
              <w:bottom w:w="0" w:type="dxa"/>
              <w:right w:w="15" w:type="dxa"/>
            </w:tcMar>
            <w:vAlign w:val="center"/>
          </w:tcPr>
          <w:p w14:paraId="47A84FA8"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Platform</w:t>
            </w:r>
          </w:p>
        </w:tc>
        <w:tc>
          <w:tcPr>
            <w:tcW w:w="850" w:type="dxa"/>
            <w:vMerge w:val="restart"/>
            <w:shd w:val="clear" w:color="auto" w:fill="00709E"/>
            <w:noWrap/>
            <w:tcMar>
              <w:top w:w="15" w:type="dxa"/>
              <w:left w:w="15" w:type="dxa"/>
              <w:bottom w:w="0" w:type="dxa"/>
              <w:right w:w="15" w:type="dxa"/>
            </w:tcMar>
            <w:vAlign w:val="center"/>
          </w:tcPr>
          <w:p w14:paraId="1F04CC28"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w:t>
            </w:r>
          </w:p>
          <w:p w14:paraId="1618D222"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shares</w:t>
            </w:r>
          </w:p>
        </w:tc>
        <w:tc>
          <w:tcPr>
            <w:tcW w:w="567" w:type="dxa"/>
            <w:vMerge w:val="restart"/>
            <w:shd w:val="clear" w:color="auto" w:fill="00709E"/>
            <w:noWrap/>
            <w:tcMar>
              <w:top w:w="15" w:type="dxa"/>
              <w:left w:w="15" w:type="dxa"/>
              <w:bottom w:w="0" w:type="dxa"/>
              <w:right w:w="15" w:type="dxa"/>
            </w:tcMar>
            <w:vAlign w:val="center"/>
          </w:tcPr>
          <w:p w14:paraId="51420D49"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418" w:type="dxa"/>
            <w:shd w:val="clear" w:color="auto" w:fill="00709E"/>
            <w:noWrap/>
            <w:tcMar>
              <w:top w:w="15" w:type="dxa"/>
              <w:left w:w="15" w:type="dxa"/>
              <w:bottom w:w="0" w:type="dxa"/>
              <w:right w:w="15" w:type="dxa"/>
            </w:tcMar>
            <w:vAlign w:val="center"/>
          </w:tcPr>
          <w:p w14:paraId="6E04866E"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Electronic order book</w:t>
            </w:r>
          </w:p>
        </w:tc>
        <w:tc>
          <w:tcPr>
            <w:tcW w:w="1134" w:type="dxa"/>
            <w:shd w:val="clear" w:color="auto" w:fill="00709E"/>
            <w:noWrap/>
            <w:tcMar>
              <w:top w:w="15" w:type="dxa"/>
              <w:left w:w="15" w:type="dxa"/>
              <w:bottom w:w="0" w:type="dxa"/>
              <w:right w:w="15" w:type="dxa"/>
            </w:tcMar>
            <w:vAlign w:val="center"/>
          </w:tcPr>
          <w:p w14:paraId="3EA60CCB"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Negotiated deals</w:t>
            </w:r>
          </w:p>
        </w:tc>
        <w:tc>
          <w:tcPr>
            <w:tcW w:w="1483" w:type="dxa"/>
            <w:shd w:val="clear" w:color="auto" w:fill="00709E"/>
            <w:vAlign w:val="center"/>
          </w:tcPr>
          <w:p w14:paraId="034591B4"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Reported trades</w:t>
            </w:r>
          </w:p>
        </w:tc>
      </w:tr>
      <w:tr w:rsidR="0099392D" w:rsidRPr="00490F9F" w14:paraId="6ACC22E5" w14:textId="77777777" w:rsidTr="00805637">
        <w:trPr>
          <w:cantSplit/>
          <w:trHeight w:val="20"/>
        </w:trPr>
        <w:tc>
          <w:tcPr>
            <w:tcW w:w="567" w:type="dxa"/>
            <w:vMerge/>
            <w:shd w:val="clear" w:color="auto" w:fill="00709E"/>
            <w:noWrap/>
            <w:tcMar>
              <w:top w:w="15" w:type="dxa"/>
              <w:left w:w="15" w:type="dxa"/>
              <w:bottom w:w="0" w:type="dxa"/>
              <w:right w:w="15" w:type="dxa"/>
            </w:tcMar>
            <w:vAlign w:val="center"/>
          </w:tcPr>
          <w:p w14:paraId="7A6678D3" w14:textId="77777777" w:rsidR="0099392D" w:rsidRPr="00490F9F" w:rsidRDefault="0099392D" w:rsidP="00E91CD3">
            <w:pPr>
              <w:spacing w:after="0" w:line="240" w:lineRule="auto"/>
              <w:jc w:val="center"/>
              <w:rPr>
                <w:rFonts w:ascii="Arial" w:hAnsi="Arial" w:cs="Arial"/>
                <w:b/>
                <w:bCs/>
                <w:color w:val="FFFFFF"/>
                <w:sz w:val="16"/>
                <w:szCs w:val="16"/>
              </w:rPr>
            </w:pPr>
          </w:p>
        </w:tc>
        <w:tc>
          <w:tcPr>
            <w:tcW w:w="1134" w:type="dxa"/>
            <w:vMerge/>
            <w:shd w:val="clear" w:color="auto" w:fill="00709E"/>
            <w:noWrap/>
            <w:tcMar>
              <w:top w:w="15" w:type="dxa"/>
              <w:left w:w="15" w:type="dxa"/>
              <w:bottom w:w="0" w:type="dxa"/>
              <w:right w:w="15" w:type="dxa"/>
            </w:tcMar>
            <w:vAlign w:val="center"/>
          </w:tcPr>
          <w:p w14:paraId="48363F8C" w14:textId="77777777" w:rsidR="0099392D" w:rsidRPr="00490F9F" w:rsidRDefault="0099392D" w:rsidP="00E91CD3">
            <w:pPr>
              <w:spacing w:after="0" w:line="240" w:lineRule="auto"/>
              <w:jc w:val="center"/>
              <w:rPr>
                <w:rFonts w:ascii="Arial" w:hAnsi="Arial" w:cs="Arial"/>
                <w:b/>
                <w:bCs/>
                <w:color w:val="FFFFFF"/>
                <w:sz w:val="16"/>
                <w:szCs w:val="16"/>
              </w:rPr>
            </w:pPr>
          </w:p>
        </w:tc>
        <w:tc>
          <w:tcPr>
            <w:tcW w:w="1241" w:type="dxa"/>
            <w:vMerge/>
            <w:shd w:val="clear" w:color="auto" w:fill="00709E"/>
            <w:noWrap/>
            <w:tcMar>
              <w:top w:w="15" w:type="dxa"/>
              <w:left w:w="15" w:type="dxa"/>
              <w:bottom w:w="0" w:type="dxa"/>
              <w:right w:w="15" w:type="dxa"/>
            </w:tcMar>
            <w:vAlign w:val="center"/>
          </w:tcPr>
          <w:p w14:paraId="6430B24D" w14:textId="77777777" w:rsidR="0099392D" w:rsidRPr="00490F9F" w:rsidRDefault="0099392D" w:rsidP="00E91CD3">
            <w:pPr>
              <w:spacing w:after="0" w:line="240" w:lineRule="auto"/>
              <w:jc w:val="center"/>
              <w:rPr>
                <w:rFonts w:ascii="Arial" w:hAnsi="Arial" w:cs="Arial"/>
                <w:b/>
                <w:bCs/>
                <w:color w:val="FFFFFF"/>
                <w:sz w:val="16"/>
                <w:szCs w:val="16"/>
              </w:rPr>
            </w:pPr>
          </w:p>
        </w:tc>
        <w:tc>
          <w:tcPr>
            <w:tcW w:w="1311" w:type="dxa"/>
            <w:vMerge/>
            <w:shd w:val="clear" w:color="auto" w:fill="00709E"/>
            <w:noWrap/>
            <w:tcMar>
              <w:top w:w="15" w:type="dxa"/>
              <w:left w:w="15" w:type="dxa"/>
              <w:bottom w:w="0" w:type="dxa"/>
              <w:right w:w="15" w:type="dxa"/>
            </w:tcMar>
            <w:vAlign w:val="center"/>
          </w:tcPr>
          <w:p w14:paraId="3B352903" w14:textId="77777777" w:rsidR="0099392D" w:rsidRPr="00490F9F" w:rsidRDefault="0099392D" w:rsidP="00E91CD3">
            <w:pPr>
              <w:spacing w:after="0" w:line="240" w:lineRule="auto"/>
              <w:jc w:val="center"/>
              <w:rPr>
                <w:rFonts w:ascii="Arial" w:hAnsi="Arial" w:cs="Arial"/>
                <w:b/>
                <w:bCs/>
                <w:color w:val="FFFFFF"/>
                <w:sz w:val="16"/>
                <w:szCs w:val="16"/>
              </w:rPr>
            </w:pPr>
          </w:p>
        </w:tc>
        <w:tc>
          <w:tcPr>
            <w:tcW w:w="850" w:type="dxa"/>
            <w:vMerge/>
            <w:shd w:val="clear" w:color="auto" w:fill="00709E"/>
            <w:noWrap/>
            <w:tcMar>
              <w:top w:w="15" w:type="dxa"/>
              <w:left w:w="15" w:type="dxa"/>
              <w:bottom w:w="0" w:type="dxa"/>
              <w:right w:w="15" w:type="dxa"/>
            </w:tcMar>
            <w:vAlign w:val="center"/>
          </w:tcPr>
          <w:p w14:paraId="0173274B" w14:textId="77777777" w:rsidR="0099392D" w:rsidRPr="00490F9F" w:rsidRDefault="0099392D" w:rsidP="00E91CD3">
            <w:pPr>
              <w:spacing w:after="0" w:line="240" w:lineRule="auto"/>
              <w:jc w:val="center"/>
              <w:rPr>
                <w:rFonts w:ascii="Arial" w:hAnsi="Arial" w:cs="Arial"/>
                <w:b/>
                <w:bCs/>
                <w:color w:val="FFFFFF"/>
                <w:sz w:val="16"/>
                <w:szCs w:val="16"/>
              </w:rPr>
            </w:pPr>
          </w:p>
        </w:tc>
        <w:tc>
          <w:tcPr>
            <w:tcW w:w="567" w:type="dxa"/>
            <w:vMerge/>
            <w:shd w:val="clear" w:color="auto" w:fill="00709E"/>
            <w:noWrap/>
            <w:tcMar>
              <w:top w:w="15" w:type="dxa"/>
              <w:left w:w="15" w:type="dxa"/>
              <w:bottom w:w="0" w:type="dxa"/>
              <w:right w:w="15" w:type="dxa"/>
            </w:tcMar>
            <w:vAlign w:val="center"/>
          </w:tcPr>
          <w:p w14:paraId="39B71B7F" w14:textId="77777777" w:rsidR="0099392D" w:rsidRPr="00490F9F" w:rsidRDefault="0099392D" w:rsidP="00E91CD3">
            <w:pPr>
              <w:spacing w:after="0" w:line="240" w:lineRule="auto"/>
              <w:jc w:val="center"/>
              <w:rPr>
                <w:rFonts w:ascii="Arial" w:hAnsi="Arial" w:cs="Arial"/>
                <w:b/>
                <w:bCs/>
                <w:color w:val="FFFFFF"/>
                <w:sz w:val="16"/>
                <w:szCs w:val="16"/>
              </w:rPr>
            </w:pPr>
          </w:p>
        </w:tc>
        <w:tc>
          <w:tcPr>
            <w:tcW w:w="1418" w:type="dxa"/>
            <w:shd w:val="clear" w:color="auto" w:fill="00709E"/>
            <w:noWrap/>
            <w:tcMar>
              <w:top w:w="15" w:type="dxa"/>
              <w:left w:w="15" w:type="dxa"/>
              <w:bottom w:w="0" w:type="dxa"/>
              <w:right w:w="15" w:type="dxa"/>
            </w:tcMar>
            <w:vAlign w:val="center"/>
          </w:tcPr>
          <w:p w14:paraId="40A6BA45"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c>
          <w:tcPr>
            <w:tcW w:w="1134" w:type="dxa"/>
            <w:shd w:val="clear" w:color="auto" w:fill="00709E"/>
            <w:noWrap/>
            <w:tcMar>
              <w:top w:w="15" w:type="dxa"/>
              <w:left w:w="15" w:type="dxa"/>
              <w:bottom w:w="0" w:type="dxa"/>
              <w:right w:w="15" w:type="dxa"/>
            </w:tcMar>
            <w:vAlign w:val="center"/>
          </w:tcPr>
          <w:p w14:paraId="5744B3EB"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c>
          <w:tcPr>
            <w:tcW w:w="1483" w:type="dxa"/>
            <w:shd w:val="clear" w:color="auto" w:fill="00709E"/>
            <w:vAlign w:val="center"/>
          </w:tcPr>
          <w:p w14:paraId="01B729D3"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r>
      <w:tr w:rsidR="0099392D" w:rsidRPr="00490F9F" w14:paraId="79C5018C"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3463A195"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A</w:t>
            </w:r>
          </w:p>
        </w:tc>
        <w:tc>
          <w:tcPr>
            <w:tcW w:w="1134" w:type="dxa"/>
            <w:noWrap/>
            <w:tcMar>
              <w:top w:w="15" w:type="dxa"/>
              <w:left w:w="15" w:type="dxa"/>
              <w:bottom w:w="0" w:type="dxa"/>
              <w:right w:w="15" w:type="dxa"/>
            </w:tcMar>
            <w:vAlign w:val="center"/>
          </w:tcPr>
          <w:p w14:paraId="6D3A9B6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241" w:type="dxa"/>
            <w:noWrap/>
            <w:tcMar>
              <w:top w:w="15" w:type="dxa"/>
              <w:left w:w="15" w:type="dxa"/>
              <w:bottom w:w="0" w:type="dxa"/>
              <w:right w:w="15" w:type="dxa"/>
            </w:tcMar>
            <w:vAlign w:val="center"/>
          </w:tcPr>
          <w:p w14:paraId="7C67D8A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311" w:type="dxa"/>
            <w:noWrap/>
            <w:tcMar>
              <w:top w:w="15" w:type="dxa"/>
              <w:left w:w="15" w:type="dxa"/>
              <w:bottom w:w="0" w:type="dxa"/>
              <w:right w:w="15" w:type="dxa"/>
            </w:tcMar>
            <w:vAlign w:val="center"/>
          </w:tcPr>
          <w:p w14:paraId="36EFD87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Order book</w:t>
            </w:r>
          </w:p>
        </w:tc>
        <w:tc>
          <w:tcPr>
            <w:tcW w:w="850" w:type="dxa"/>
            <w:noWrap/>
            <w:tcMar>
              <w:top w:w="15" w:type="dxa"/>
              <w:left w:w="15" w:type="dxa"/>
              <w:bottom w:w="0" w:type="dxa"/>
              <w:right w:w="15" w:type="dxa"/>
            </w:tcMar>
            <w:vAlign w:val="center"/>
          </w:tcPr>
          <w:p w14:paraId="2A50E816"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567" w:type="dxa"/>
            <w:noWrap/>
            <w:tcMar>
              <w:top w:w="15" w:type="dxa"/>
              <w:left w:w="15" w:type="dxa"/>
              <w:bottom w:w="0" w:type="dxa"/>
              <w:right w:w="15" w:type="dxa"/>
            </w:tcMar>
            <w:vAlign w:val="center"/>
          </w:tcPr>
          <w:p w14:paraId="7CE46210"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18" w:type="dxa"/>
            <w:noWrap/>
            <w:tcMar>
              <w:top w:w="15" w:type="dxa"/>
              <w:left w:w="15" w:type="dxa"/>
              <w:bottom w:w="0" w:type="dxa"/>
              <w:right w:w="15" w:type="dxa"/>
            </w:tcMar>
            <w:vAlign w:val="center"/>
          </w:tcPr>
          <w:p w14:paraId="60930A5A"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134" w:type="dxa"/>
            <w:noWrap/>
            <w:tcMar>
              <w:top w:w="15" w:type="dxa"/>
              <w:left w:w="15" w:type="dxa"/>
              <w:bottom w:w="0" w:type="dxa"/>
              <w:right w:w="15" w:type="dxa"/>
            </w:tcMar>
            <w:vAlign w:val="center"/>
          </w:tcPr>
          <w:p w14:paraId="0401195B" w14:textId="77777777" w:rsidR="0099392D" w:rsidRPr="00490F9F" w:rsidRDefault="0099392D" w:rsidP="00E91CD3">
            <w:pPr>
              <w:spacing w:after="0" w:line="240" w:lineRule="auto"/>
              <w:jc w:val="center"/>
              <w:rPr>
                <w:rFonts w:ascii="Arial" w:hAnsi="Arial" w:cs="Arial"/>
                <w:sz w:val="16"/>
                <w:szCs w:val="16"/>
              </w:rPr>
            </w:pPr>
          </w:p>
        </w:tc>
        <w:tc>
          <w:tcPr>
            <w:tcW w:w="1483" w:type="dxa"/>
            <w:vAlign w:val="center"/>
          </w:tcPr>
          <w:p w14:paraId="393678CC"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055511D7"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15D95717"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B</w:t>
            </w:r>
          </w:p>
        </w:tc>
        <w:tc>
          <w:tcPr>
            <w:tcW w:w="1134" w:type="dxa"/>
            <w:noWrap/>
            <w:tcMar>
              <w:top w:w="15" w:type="dxa"/>
              <w:left w:w="15" w:type="dxa"/>
              <w:bottom w:w="0" w:type="dxa"/>
              <w:right w:w="15" w:type="dxa"/>
            </w:tcMar>
            <w:vAlign w:val="center"/>
          </w:tcPr>
          <w:p w14:paraId="4DEED15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241" w:type="dxa"/>
            <w:noWrap/>
            <w:tcMar>
              <w:top w:w="15" w:type="dxa"/>
              <w:left w:w="15" w:type="dxa"/>
              <w:bottom w:w="0" w:type="dxa"/>
              <w:right w:w="15" w:type="dxa"/>
            </w:tcMar>
            <w:vAlign w:val="center"/>
          </w:tcPr>
          <w:p w14:paraId="5DE0E09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311" w:type="dxa"/>
            <w:noWrap/>
            <w:tcMar>
              <w:top w:w="15" w:type="dxa"/>
              <w:left w:w="15" w:type="dxa"/>
              <w:bottom w:w="0" w:type="dxa"/>
              <w:right w:w="15" w:type="dxa"/>
            </w:tcMar>
            <w:vAlign w:val="center"/>
          </w:tcPr>
          <w:p w14:paraId="17153510"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23A1545F"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20</w:t>
            </w:r>
          </w:p>
        </w:tc>
        <w:tc>
          <w:tcPr>
            <w:tcW w:w="567" w:type="dxa"/>
            <w:noWrap/>
            <w:tcMar>
              <w:top w:w="15" w:type="dxa"/>
              <w:left w:w="15" w:type="dxa"/>
              <w:bottom w:w="0" w:type="dxa"/>
              <w:right w:w="15" w:type="dxa"/>
            </w:tcMar>
            <w:vAlign w:val="center"/>
          </w:tcPr>
          <w:p w14:paraId="7F2E84C5"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18" w:type="dxa"/>
            <w:noWrap/>
            <w:tcMar>
              <w:top w:w="15" w:type="dxa"/>
              <w:left w:w="15" w:type="dxa"/>
              <w:bottom w:w="0" w:type="dxa"/>
              <w:right w:w="15" w:type="dxa"/>
            </w:tcMar>
            <w:vAlign w:val="center"/>
          </w:tcPr>
          <w:p w14:paraId="36A8659D"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754F0F2D"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1483" w:type="dxa"/>
            <w:vAlign w:val="center"/>
          </w:tcPr>
          <w:p w14:paraId="750614B3"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67099711"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2B9A0D7E"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C</w:t>
            </w:r>
          </w:p>
        </w:tc>
        <w:tc>
          <w:tcPr>
            <w:tcW w:w="1134" w:type="dxa"/>
            <w:noWrap/>
            <w:tcMar>
              <w:top w:w="15" w:type="dxa"/>
              <w:left w:w="15" w:type="dxa"/>
              <w:bottom w:w="0" w:type="dxa"/>
              <w:right w:w="15" w:type="dxa"/>
            </w:tcMar>
            <w:vAlign w:val="center"/>
          </w:tcPr>
          <w:p w14:paraId="500470F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241" w:type="dxa"/>
            <w:noWrap/>
            <w:tcMar>
              <w:top w:w="15" w:type="dxa"/>
              <w:left w:w="15" w:type="dxa"/>
              <w:bottom w:w="0" w:type="dxa"/>
              <w:right w:w="15" w:type="dxa"/>
            </w:tcMar>
            <w:vAlign w:val="center"/>
          </w:tcPr>
          <w:p w14:paraId="556DA30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311" w:type="dxa"/>
            <w:noWrap/>
            <w:tcMar>
              <w:top w:w="15" w:type="dxa"/>
              <w:left w:w="15" w:type="dxa"/>
              <w:bottom w:w="0" w:type="dxa"/>
              <w:right w:w="15" w:type="dxa"/>
            </w:tcMar>
            <w:vAlign w:val="center"/>
          </w:tcPr>
          <w:p w14:paraId="6A14C080"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3929D0B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30</w:t>
            </w:r>
          </w:p>
        </w:tc>
        <w:tc>
          <w:tcPr>
            <w:tcW w:w="567" w:type="dxa"/>
            <w:noWrap/>
            <w:tcMar>
              <w:top w:w="15" w:type="dxa"/>
              <w:left w:w="15" w:type="dxa"/>
              <w:bottom w:w="0" w:type="dxa"/>
              <w:right w:w="15" w:type="dxa"/>
            </w:tcMar>
            <w:vAlign w:val="center"/>
          </w:tcPr>
          <w:p w14:paraId="143974C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18" w:type="dxa"/>
            <w:noWrap/>
            <w:tcMar>
              <w:top w:w="15" w:type="dxa"/>
              <w:left w:w="15" w:type="dxa"/>
              <w:bottom w:w="0" w:type="dxa"/>
              <w:right w:w="15" w:type="dxa"/>
            </w:tcMar>
            <w:vAlign w:val="center"/>
          </w:tcPr>
          <w:p w14:paraId="7B4267EF"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3D9A3402"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90</w:t>
            </w:r>
          </w:p>
        </w:tc>
        <w:tc>
          <w:tcPr>
            <w:tcW w:w="1483" w:type="dxa"/>
            <w:vAlign w:val="center"/>
          </w:tcPr>
          <w:p w14:paraId="5FCA180D"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3136C03B"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75F55A0A"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D</w:t>
            </w:r>
          </w:p>
        </w:tc>
        <w:tc>
          <w:tcPr>
            <w:tcW w:w="1134" w:type="dxa"/>
            <w:noWrap/>
            <w:tcMar>
              <w:top w:w="15" w:type="dxa"/>
              <w:left w:w="15" w:type="dxa"/>
              <w:bottom w:w="0" w:type="dxa"/>
              <w:right w:w="15" w:type="dxa"/>
            </w:tcMar>
            <w:vAlign w:val="center"/>
          </w:tcPr>
          <w:p w14:paraId="608C1CEE"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241" w:type="dxa"/>
            <w:noWrap/>
            <w:tcMar>
              <w:top w:w="15" w:type="dxa"/>
              <w:left w:w="15" w:type="dxa"/>
              <w:bottom w:w="0" w:type="dxa"/>
              <w:right w:w="15" w:type="dxa"/>
            </w:tcMar>
            <w:vAlign w:val="center"/>
          </w:tcPr>
          <w:p w14:paraId="7A3EB47E"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311" w:type="dxa"/>
            <w:noWrap/>
            <w:tcMar>
              <w:top w:w="15" w:type="dxa"/>
              <w:left w:w="15" w:type="dxa"/>
              <w:bottom w:w="0" w:type="dxa"/>
              <w:right w:w="15" w:type="dxa"/>
            </w:tcMar>
            <w:vAlign w:val="center"/>
          </w:tcPr>
          <w:p w14:paraId="529F4467"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Order book</w:t>
            </w:r>
          </w:p>
        </w:tc>
        <w:tc>
          <w:tcPr>
            <w:tcW w:w="850" w:type="dxa"/>
            <w:noWrap/>
            <w:tcMar>
              <w:top w:w="15" w:type="dxa"/>
              <w:left w:w="15" w:type="dxa"/>
              <w:bottom w:w="0" w:type="dxa"/>
              <w:right w:w="15" w:type="dxa"/>
            </w:tcMar>
            <w:vAlign w:val="center"/>
          </w:tcPr>
          <w:p w14:paraId="430FFC5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567" w:type="dxa"/>
            <w:noWrap/>
            <w:tcMar>
              <w:top w:w="15" w:type="dxa"/>
              <w:left w:w="15" w:type="dxa"/>
              <w:bottom w:w="0" w:type="dxa"/>
              <w:right w:w="15" w:type="dxa"/>
            </w:tcMar>
            <w:vAlign w:val="center"/>
          </w:tcPr>
          <w:p w14:paraId="57512033"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18" w:type="dxa"/>
            <w:noWrap/>
            <w:tcMar>
              <w:top w:w="15" w:type="dxa"/>
              <w:left w:w="15" w:type="dxa"/>
              <w:bottom w:w="0" w:type="dxa"/>
              <w:right w:w="15" w:type="dxa"/>
            </w:tcMar>
            <w:vAlign w:val="center"/>
          </w:tcPr>
          <w:p w14:paraId="5E4D290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1134" w:type="dxa"/>
            <w:noWrap/>
            <w:tcMar>
              <w:top w:w="15" w:type="dxa"/>
              <w:left w:w="15" w:type="dxa"/>
              <w:bottom w:w="0" w:type="dxa"/>
              <w:right w:w="15" w:type="dxa"/>
            </w:tcMar>
            <w:vAlign w:val="center"/>
          </w:tcPr>
          <w:p w14:paraId="512AFB75" w14:textId="77777777" w:rsidR="0099392D" w:rsidRPr="00490F9F" w:rsidRDefault="0099392D" w:rsidP="00E91CD3">
            <w:pPr>
              <w:spacing w:after="0" w:line="240" w:lineRule="auto"/>
              <w:jc w:val="center"/>
              <w:rPr>
                <w:rFonts w:ascii="Arial" w:hAnsi="Arial" w:cs="Arial"/>
                <w:sz w:val="16"/>
                <w:szCs w:val="16"/>
              </w:rPr>
            </w:pPr>
          </w:p>
        </w:tc>
        <w:tc>
          <w:tcPr>
            <w:tcW w:w="1483" w:type="dxa"/>
            <w:vAlign w:val="center"/>
          </w:tcPr>
          <w:p w14:paraId="78FD8726"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011C0308"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1C7961FD"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E</w:t>
            </w:r>
          </w:p>
        </w:tc>
        <w:tc>
          <w:tcPr>
            <w:tcW w:w="1134" w:type="dxa"/>
            <w:noWrap/>
            <w:tcMar>
              <w:top w:w="15" w:type="dxa"/>
              <w:left w:w="15" w:type="dxa"/>
              <w:bottom w:w="0" w:type="dxa"/>
              <w:right w:w="15" w:type="dxa"/>
            </w:tcMar>
            <w:vAlign w:val="center"/>
          </w:tcPr>
          <w:p w14:paraId="77B0F67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241" w:type="dxa"/>
            <w:noWrap/>
            <w:tcMar>
              <w:top w:w="15" w:type="dxa"/>
              <w:left w:w="15" w:type="dxa"/>
              <w:bottom w:w="0" w:type="dxa"/>
              <w:right w:w="15" w:type="dxa"/>
            </w:tcMar>
            <w:vAlign w:val="center"/>
          </w:tcPr>
          <w:p w14:paraId="5AECC923"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311" w:type="dxa"/>
            <w:noWrap/>
            <w:tcMar>
              <w:top w:w="15" w:type="dxa"/>
              <w:left w:w="15" w:type="dxa"/>
              <w:bottom w:w="0" w:type="dxa"/>
              <w:right w:w="15" w:type="dxa"/>
            </w:tcMar>
            <w:vAlign w:val="center"/>
          </w:tcPr>
          <w:p w14:paraId="48ED38AD"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4FA4337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50</w:t>
            </w:r>
          </w:p>
        </w:tc>
        <w:tc>
          <w:tcPr>
            <w:tcW w:w="567" w:type="dxa"/>
            <w:noWrap/>
            <w:tcMar>
              <w:top w:w="15" w:type="dxa"/>
              <w:left w:w="15" w:type="dxa"/>
              <w:bottom w:w="0" w:type="dxa"/>
              <w:right w:w="15" w:type="dxa"/>
            </w:tcMar>
            <w:vAlign w:val="center"/>
          </w:tcPr>
          <w:p w14:paraId="695653C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18" w:type="dxa"/>
            <w:noWrap/>
            <w:tcMar>
              <w:top w:w="15" w:type="dxa"/>
              <w:left w:w="15" w:type="dxa"/>
              <w:bottom w:w="0" w:type="dxa"/>
              <w:right w:w="15" w:type="dxa"/>
            </w:tcMar>
            <w:vAlign w:val="center"/>
          </w:tcPr>
          <w:p w14:paraId="2FD928C7"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38FE1D34"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100</w:t>
            </w:r>
          </w:p>
        </w:tc>
        <w:tc>
          <w:tcPr>
            <w:tcW w:w="1483" w:type="dxa"/>
            <w:vAlign w:val="center"/>
          </w:tcPr>
          <w:p w14:paraId="07B3359A"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1F2C0A50"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2AACF238"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F</w:t>
            </w:r>
          </w:p>
        </w:tc>
        <w:tc>
          <w:tcPr>
            <w:tcW w:w="1134" w:type="dxa"/>
            <w:noWrap/>
            <w:tcMar>
              <w:top w:w="15" w:type="dxa"/>
              <w:left w:w="15" w:type="dxa"/>
              <w:bottom w:w="0" w:type="dxa"/>
              <w:right w:w="15" w:type="dxa"/>
            </w:tcMar>
            <w:vAlign w:val="center"/>
          </w:tcPr>
          <w:p w14:paraId="47D51D8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241" w:type="dxa"/>
            <w:noWrap/>
            <w:tcMar>
              <w:top w:w="15" w:type="dxa"/>
              <w:left w:w="15" w:type="dxa"/>
              <w:bottom w:w="0" w:type="dxa"/>
              <w:right w:w="15" w:type="dxa"/>
            </w:tcMar>
            <w:vAlign w:val="center"/>
          </w:tcPr>
          <w:p w14:paraId="55DB429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311" w:type="dxa"/>
            <w:noWrap/>
            <w:tcMar>
              <w:top w:w="15" w:type="dxa"/>
              <w:left w:w="15" w:type="dxa"/>
              <w:bottom w:w="0" w:type="dxa"/>
              <w:right w:w="15" w:type="dxa"/>
            </w:tcMar>
            <w:vAlign w:val="center"/>
          </w:tcPr>
          <w:p w14:paraId="57974C6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625B4E0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60</w:t>
            </w:r>
          </w:p>
        </w:tc>
        <w:tc>
          <w:tcPr>
            <w:tcW w:w="567" w:type="dxa"/>
            <w:noWrap/>
            <w:tcMar>
              <w:top w:w="15" w:type="dxa"/>
              <w:left w:w="15" w:type="dxa"/>
              <w:bottom w:w="0" w:type="dxa"/>
              <w:right w:w="15" w:type="dxa"/>
            </w:tcMar>
            <w:vAlign w:val="center"/>
          </w:tcPr>
          <w:p w14:paraId="63CC71D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18" w:type="dxa"/>
            <w:noWrap/>
            <w:tcMar>
              <w:top w:w="15" w:type="dxa"/>
              <w:left w:w="15" w:type="dxa"/>
              <w:bottom w:w="0" w:type="dxa"/>
              <w:right w:w="15" w:type="dxa"/>
            </w:tcMar>
            <w:vAlign w:val="center"/>
          </w:tcPr>
          <w:p w14:paraId="35388AD8"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5533415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180</w:t>
            </w:r>
          </w:p>
        </w:tc>
        <w:tc>
          <w:tcPr>
            <w:tcW w:w="1483" w:type="dxa"/>
            <w:vAlign w:val="center"/>
          </w:tcPr>
          <w:p w14:paraId="2A5F2570"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5C7CDFAA"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7794639E"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G</w:t>
            </w:r>
          </w:p>
        </w:tc>
        <w:tc>
          <w:tcPr>
            <w:tcW w:w="1134" w:type="dxa"/>
            <w:noWrap/>
            <w:tcMar>
              <w:top w:w="15" w:type="dxa"/>
              <w:left w:w="15" w:type="dxa"/>
              <w:bottom w:w="0" w:type="dxa"/>
              <w:right w:w="15" w:type="dxa"/>
            </w:tcMar>
            <w:vAlign w:val="center"/>
          </w:tcPr>
          <w:p w14:paraId="12BEAC52"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 non – member</w:t>
            </w:r>
          </w:p>
        </w:tc>
        <w:tc>
          <w:tcPr>
            <w:tcW w:w="1241" w:type="dxa"/>
            <w:noWrap/>
            <w:tcMar>
              <w:top w:w="15" w:type="dxa"/>
              <w:left w:w="15" w:type="dxa"/>
              <w:bottom w:w="0" w:type="dxa"/>
              <w:right w:w="15" w:type="dxa"/>
            </w:tcMar>
            <w:vAlign w:val="center"/>
          </w:tcPr>
          <w:p w14:paraId="37E58C72"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 non - member</w:t>
            </w:r>
          </w:p>
        </w:tc>
        <w:tc>
          <w:tcPr>
            <w:tcW w:w="1311" w:type="dxa"/>
            <w:noWrap/>
            <w:tcMar>
              <w:top w:w="15" w:type="dxa"/>
              <w:left w:w="15" w:type="dxa"/>
              <w:bottom w:w="0" w:type="dxa"/>
              <w:right w:w="15" w:type="dxa"/>
            </w:tcMar>
            <w:vAlign w:val="center"/>
          </w:tcPr>
          <w:p w14:paraId="7C49D644"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Trade Reporting Facility</w:t>
            </w:r>
          </w:p>
        </w:tc>
        <w:tc>
          <w:tcPr>
            <w:tcW w:w="850" w:type="dxa"/>
            <w:noWrap/>
            <w:tcMar>
              <w:top w:w="15" w:type="dxa"/>
              <w:left w:w="15" w:type="dxa"/>
              <w:bottom w:w="0" w:type="dxa"/>
              <w:right w:w="15" w:type="dxa"/>
            </w:tcMar>
            <w:vAlign w:val="center"/>
          </w:tcPr>
          <w:p w14:paraId="37ADDB46"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15</w:t>
            </w:r>
          </w:p>
        </w:tc>
        <w:tc>
          <w:tcPr>
            <w:tcW w:w="567" w:type="dxa"/>
            <w:noWrap/>
            <w:tcMar>
              <w:top w:w="15" w:type="dxa"/>
              <w:left w:w="15" w:type="dxa"/>
              <w:bottom w:w="0" w:type="dxa"/>
              <w:right w:w="15" w:type="dxa"/>
            </w:tcMar>
            <w:vAlign w:val="center"/>
          </w:tcPr>
          <w:p w14:paraId="23C1EDEA"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5</w:t>
            </w:r>
          </w:p>
        </w:tc>
        <w:tc>
          <w:tcPr>
            <w:tcW w:w="1418" w:type="dxa"/>
            <w:noWrap/>
            <w:tcMar>
              <w:top w:w="15" w:type="dxa"/>
              <w:left w:w="15" w:type="dxa"/>
              <w:bottom w:w="0" w:type="dxa"/>
              <w:right w:w="15" w:type="dxa"/>
            </w:tcMar>
            <w:vAlign w:val="center"/>
          </w:tcPr>
          <w:p w14:paraId="61D0E98C"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269C7AE6" w14:textId="77777777" w:rsidR="0099392D" w:rsidRPr="00490F9F" w:rsidRDefault="0099392D" w:rsidP="00E91CD3">
            <w:pPr>
              <w:spacing w:after="0" w:line="240" w:lineRule="auto"/>
              <w:jc w:val="center"/>
              <w:rPr>
                <w:rFonts w:ascii="Arial" w:hAnsi="Arial" w:cs="Arial"/>
                <w:sz w:val="16"/>
                <w:szCs w:val="16"/>
              </w:rPr>
            </w:pPr>
          </w:p>
        </w:tc>
        <w:tc>
          <w:tcPr>
            <w:tcW w:w="1483" w:type="dxa"/>
            <w:vAlign w:val="center"/>
          </w:tcPr>
          <w:p w14:paraId="5C2397A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75</w:t>
            </w:r>
          </w:p>
        </w:tc>
      </w:tr>
      <w:tr w:rsidR="0099392D" w:rsidRPr="00490F9F" w14:paraId="03CF34DD" w14:textId="77777777" w:rsidTr="00805637">
        <w:trPr>
          <w:cantSplit/>
          <w:trHeight w:val="20"/>
        </w:trPr>
        <w:tc>
          <w:tcPr>
            <w:tcW w:w="5670" w:type="dxa"/>
            <w:gridSpan w:val="6"/>
            <w:noWrap/>
            <w:tcMar>
              <w:top w:w="15" w:type="dxa"/>
              <w:left w:w="15" w:type="dxa"/>
              <w:bottom w:w="0" w:type="dxa"/>
              <w:right w:w="15" w:type="dxa"/>
            </w:tcMar>
            <w:vAlign w:val="center"/>
          </w:tcPr>
          <w:p w14:paraId="3D9D7757"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Sub-totals</w:t>
            </w:r>
          </w:p>
        </w:tc>
        <w:tc>
          <w:tcPr>
            <w:tcW w:w="1418" w:type="dxa"/>
            <w:noWrap/>
            <w:tcMar>
              <w:top w:w="15" w:type="dxa"/>
              <w:left w:w="15" w:type="dxa"/>
              <w:bottom w:w="0" w:type="dxa"/>
              <w:right w:w="15" w:type="dxa"/>
            </w:tcMar>
            <w:vAlign w:val="center"/>
          </w:tcPr>
          <w:p w14:paraId="5CF824BD"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50</w:t>
            </w:r>
          </w:p>
        </w:tc>
        <w:tc>
          <w:tcPr>
            <w:tcW w:w="1134" w:type="dxa"/>
            <w:noWrap/>
            <w:tcMar>
              <w:top w:w="15" w:type="dxa"/>
              <w:left w:w="15" w:type="dxa"/>
              <w:bottom w:w="0" w:type="dxa"/>
              <w:right w:w="15" w:type="dxa"/>
            </w:tcMar>
            <w:vAlign w:val="center"/>
          </w:tcPr>
          <w:p w14:paraId="36A64239"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410</w:t>
            </w:r>
          </w:p>
        </w:tc>
        <w:tc>
          <w:tcPr>
            <w:tcW w:w="1483" w:type="dxa"/>
            <w:vAlign w:val="center"/>
          </w:tcPr>
          <w:p w14:paraId="23475D33"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75</w:t>
            </w:r>
          </w:p>
        </w:tc>
      </w:tr>
    </w:tbl>
    <w:p w14:paraId="29FAA1CB" w14:textId="7F63CBFB" w:rsidR="00122F2C" w:rsidRDefault="00122F2C" w:rsidP="00E91CD3">
      <w:pPr>
        <w:spacing w:after="0" w:line="240" w:lineRule="auto"/>
        <w:rPr>
          <w:rFonts w:ascii="Arial" w:eastAsia="Times New Roman" w:hAnsi="Arial" w:cs="Arial"/>
          <w:b/>
          <w:snapToGrid w:val="0"/>
          <w:spacing w:val="-3"/>
          <w:szCs w:val="20"/>
          <w:lang w:eastAsia="fr-FR"/>
        </w:rPr>
      </w:pPr>
    </w:p>
    <w:p w14:paraId="26F6378A" w14:textId="2567B78B" w:rsidR="000516AB" w:rsidRPr="000516AB" w:rsidRDefault="00753D2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516AB" w:rsidRPr="000516AB">
        <w:rPr>
          <w:rFonts w:ascii="Arial" w:eastAsia="Times New Roman" w:hAnsi="Arial" w:cs="Arial"/>
          <w:b/>
          <w:snapToGrid w:val="0"/>
          <w:spacing w:val="-3"/>
          <w:szCs w:val="20"/>
          <w:lang w:eastAsia="fr-FR"/>
        </w:rPr>
        <w:t>Number of trades (EOB)</w:t>
      </w:r>
    </w:p>
    <w:p w14:paraId="4EBD67FF" w14:textId="7A0E1EDF" w:rsidR="000516AB" w:rsidRPr="000516AB" w:rsidRDefault="00753D2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516AB" w:rsidRPr="000516AB">
        <w:rPr>
          <w:rFonts w:ascii="Arial" w:eastAsia="Times New Roman" w:hAnsi="Arial" w:cs="Arial"/>
          <w:b/>
          <w:snapToGrid w:val="0"/>
          <w:spacing w:val="-3"/>
          <w:szCs w:val="20"/>
          <w:lang w:eastAsia="fr-FR"/>
        </w:rPr>
        <w:t>Number of trades (Negotiated Deals)</w:t>
      </w:r>
    </w:p>
    <w:p w14:paraId="5EE83DB2" w14:textId="25C65C4B" w:rsidR="00B21F19" w:rsidRDefault="00753D2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516AB" w:rsidRPr="000516AB">
        <w:rPr>
          <w:rFonts w:ascii="Arial" w:eastAsia="Times New Roman" w:hAnsi="Arial" w:cs="Arial"/>
          <w:b/>
          <w:snapToGrid w:val="0"/>
          <w:spacing w:val="-3"/>
          <w:szCs w:val="20"/>
          <w:lang w:eastAsia="fr-FR"/>
        </w:rPr>
        <w:t>Number of trades (Reported Trades)</w:t>
      </w:r>
    </w:p>
    <w:p w14:paraId="5B3B149F" w14:textId="77777777" w:rsidR="006834FA"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9CFB745" w14:textId="0FDCC180" w:rsidR="00F64C43" w:rsidRPr="000044AD"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trades represents the actual number of transactions which have occurred during the period on the relevant Exchange. The number is </w:t>
      </w:r>
      <w:r w:rsidR="00644E8C">
        <w:rPr>
          <w:rFonts w:ascii="Arial" w:hAnsi="Arial" w:cs="Arial"/>
          <w:spacing w:val="-3"/>
          <w:sz w:val="20"/>
        </w:rPr>
        <w:t>single counted</w:t>
      </w:r>
      <w:r w:rsidR="006611A2">
        <w:rPr>
          <w:rFonts w:ascii="Arial" w:hAnsi="Arial" w:cs="Arial"/>
          <w:spacing w:val="-3"/>
          <w:sz w:val="20"/>
        </w:rPr>
        <w:t xml:space="preserve"> </w:t>
      </w:r>
      <w:r w:rsidRPr="00490F9F">
        <w:rPr>
          <w:rFonts w:ascii="Arial" w:hAnsi="Arial" w:cs="Arial"/>
          <w:spacing w:val="-3"/>
          <w:sz w:val="20"/>
        </w:rPr>
        <w:t xml:space="preserve">(i.e., includes one side of the transaction only). </w:t>
      </w:r>
      <w:r>
        <w:rPr>
          <w:rFonts w:ascii="Arial" w:hAnsi="Arial" w:cs="Arial"/>
          <w:spacing w:val="-3"/>
          <w:sz w:val="20"/>
        </w:rPr>
        <w:t>The data includes trades in c</w:t>
      </w:r>
      <w:r w:rsidRPr="00490F9F">
        <w:rPr>
          <w:rFonts w:ascii="Arial" w:hAnsi="Arial" w:cs="Arial"/>
          <w:spacing w:val="-3"/>
          <w:sz w:val="20"/>
        </w:rPr>
        <w:t>ompa</w:t>
      </w:r>
      <w:r>
        <w:rPr>
          <w:rFonts w:ascii="Arial" w:hAnsi="Arial" w:cs="Arial"/>
          <w:spacing w:val="-3"/>
          <w:sz w:val="20"/>
        </w:rPr>
        <w:t xml:space="preserve">nies </w:t>
      </w:r>
      <w:r w:rsidRPr="00490F9F">
        <w:rPr>
          <w:rFonts w:ascii="Arial" w:hAnsi="Arial" w:cs="Arial"/>
          <w:spacing w:val="-3"/>
          <w:sz w:val="20"/>
        </w:rPr>
        <w:t>admitted to listing and admitted to trading</w:t>
      </w:r>
      <w:r>
        <w:rPr>
          <w:rFonts w:ascii="Arial" w:hAnsi="Arial" w:cs="Arial"/>
          <w:spacing w:val="-3"/>
          <w:sz w:val="20"/>
        </w:rPr>
        <w:t xml:space="preserve"> </w:t>
      </w:r>
      <w:r w:rsidR="00BA283E">
        <w:rPr>
          <w:rFonts w:ascii="Arial" w:hAnsi="Arial" w:cs="Arial"/>
          <w:spacing w:val="-3"/>
          <w:sz w:val="20"/>
        </w:rPr>
        <w:t>broken out into</w:t>
      </w:r>
      <w:r>
        <w:rPr>
          <w:rFonts w:ascii="Arial" w:hAnsi="Arial" w:cs="Arial"/>
          <w:spacing w:val="-3"/>
          <w:sz w:val="20"/>
        </w:rPr>
        <w:t xml:space="preserve"> </w:t>
      </w:r>
      <w:r w:rsidR="00CF79EE" w:rsidRPr="005D10AE">
        <w:rPr>
          <w:rFonts w:ascii="Arial" w:hAnsi="Arial" w:cs="Arial"/>
          <w:color w:val="1F3864" w:themeColor="accent1" w:themeShade="80"/>
          <w:sz w:val="20"/>
          <w:szCs w:val="20"/>
          <w:u w:val="single"/>
        </w:rPr>
        <w:fldChar w:fldCharType="begin"/>
      </w:r>
      <w:r w:rsidR="00CF79EE" w:rsidRPr="005D10AE">
        <w:rPr>
          <w:rFonts w:ascii="Arial" w:hAnsi="Arial" w:cs="Arial"/>
          <w:color w:val="1F3864" w:themeColor="accent1" w:themeShade="80"/>
          <w:sz w:val="20"/>
          <w:szCs w:val="20"/>
          <w:u w:val="single"/>
        </w:rPr>
        <w:instrText xml:space="preserve"> REF _Ref13563231 \h  \* MERGEFORMAT </w:instrText>
      </w:r>
      <w:r w:rsidR="00CF79EE" w:rsidRPr="005D10AE">
        <w:rPr>
          <w:rFonts w:ascii="Arial" w:hAnsi="Arial" w:cs="Arial"/>
          <w:color w:val="1F3864" w:themeColor="accent1" w:themeShade="80"/>
          <w:sz w:val="20"/>
          <w:szCs w:val="20"/>
          <w:u w:val="single"/>
        </w:rPr>
      </w:r>
      <w:r w:rsidR="00CF79EE" w:rsidRPr="005D10AE">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Domestic</w:t>
      </w:r>
      <w:r w:rsidR="0094528E" w:rsidRPr="0094528E">
        <w:rPr>
          <w:color w:val="1F3864" w:themeColor="accent1" w:themeShade="80"/>
          <w:u w:val="single"/>
        </w:rPr>
        <w:t xml:space="preserve"> </w:t>
      </w:r>
      <w:r w:rsidR="0094528E" w:rsidRPr="0094528E">
        <w:rPr>
          <w:rFonts w:ascii="Arial" w:hAnsi="Arial" w:cs="Arial"/>
          <w:color w:val="1F3864" w:themeColor="accent1" w:themeShade="80"/>
          <w:sz w:val="20"/>
          <w:szCs w:val="20"/>
          <w:u w:val="single"/>
        </w:rPr>
        <w:t>Companies</w:t>
      </w:r>
      <w:r w:rsidR="00CF79EE" w:rsidRPr="005D10AE">
        <w:rPr>
          <w:rFonts w:ascii="Arial" w:hAnsi="Arial" w:cs="Arial"/>
          <w:color w:val="1F3864" w:themeColor="accent1" w:themeShade="80"/>
          <w:sz w:val="20"/>
          <w:szCs w:val="20"/>
          <w:u w:val="single"/>
        </w:rPr>
        <w:fldChar w:fldCharType="end"/>
      </w:r>
      <w:r w:rsidR="00CF79EE" w:rsidRPr="005D10AE">
        <w:rPr>
          <w:rFonts w:ascii="Arial" w:hAnsi="Arial" w:cs="Arial"/>
          <w:color w:val="1F3864" w:themeColor="accent1" w:themeShade="80"/>
          <w:spacing w:val="-3"/>
          <w:sz w:val="20"/>
        </w:rPr>
        <w:t xml:space="preserve"> </w:t>
      </w:r>
      <w:r>
        <w:rPr>
          <w:rFonts w:ascii="Arial" w:hAnsi="Arial" w:cs="Arial"/>
          <w:spacing w:val="-3"/>
          <w:sz w:val="20"/>
        </w:rPr>
        <w:t xml:space="preserve">and </w:t>
      </w:r>
      <w:r w:rsidR="00CF79EE" w:rsidRPr="000B331A">
        <w:rPr>
          <w:rFonts w:ascii="Arial" w:hAnsi="Arial" w:cs="Arial"/>
          <w:color w:val="1F3864" w:themeColor="accent1" w:themeShade="80"/>
          <w:sz w:val="20"/>
          <w:szCs w:val="20"/>
          <w:u w:val="single"/>
        </w:rPr>
        <w:t>Foreign Companies</w:t>
      </w:r>
      <w:r w:rsidR="00CF79EE">
        <w:rPr>
          <w:rFonts w:ascii="Arial" w:eastAsia="Times New Roman" w:hAnsi="Arial" w:cs="Arial"/>
          <w:snapToGrid w:val="0"/>
          <w:color w:val="002060"/>
          <w:sz w:val="20"/>
          <w:szCs w:val="20"/>
          <w:u w:val="single"/>
          <w:lang w:eastAsia="fr-FR"/>
        </w:rPr>
        <w:t>.</w:t>
      </w:r>
      <w:r w:rsidRPr="000044AD">
        <w:rPr>
          <w:rFonts w:ascii="Arial" w:hAnsi="Arial" w:cs="Arial"/>
          <w:spacing w:val="-3"/>
          <w:sz w:val="20"/>
        </w:rPr>
        <w:t xml:space="preserve"> </w:t>
      </w:r>
    </w:p>
    <w:p w14:paraId="18AC802F" w14:textId="77777777" w:rsidR="006834FA"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0B692A8" w14:textId="04930ED4" w:rsidR="00F64C43" w:rsidRPr="00490F9F"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 data</w:t>
      </w:r>
      <w:r w:rsidRPr="00490F9F">
        <w:rPr>
          <w:rFonts w:ascii="Arial" w:hAnsi="Arial" w:cs="Arial"/>
          <w:spacing w:val="-3"/>
          <w:sz w:val="20"/>
        </w:rPr>
        <w:t xml:space="preserve"> </w:t>
      </w:r>
      <w:r w:rsidR="00172A3B">
        <w:rPr>
          <w:rFonts w:ascii="Arial" w:hAnsi="Arial" w:cs="Arial"/>
          <w:spacing w:val="-3"/>
          <w:sz w:val="20"/>
        </w:rPr>
        <w:t>is presented</w:t>
      </w:r>
      <w:r w:rsidRPr="00490F9F">
        <w:rPr>
          <w:rFonts w:ascii="Arial" w:hAnsi="Arial" w:cs="Arial"/>
          <w:spacing w:val="-3"/>
          <w:sz w:val="20"/>
        </w:rPr>
        <w:t xml:space="preserve"> according to the facility/means used to execute the trade</w:t>
      </w:r>
      <w:r>
        <w:rPr>
          <w:rFonts w:ascii="Arial" w:hAnsi="Arial" w:cs="Arial"/>
          <w:spacing w:val="-3"/>
          <w:sz w:val="20"/>
        </w:rPr>
        <w:t>, namely</w:t>
      </w:r>
      <w:r w:rsidRPr="00490F9F">
        <w:rPr>
          <w:rFonts w:ascii="Arial" w:hAnsi="Arial" w:cs="Arial"/>
          <w:spacing w:val="-3"/>
          <w:sz w:val="20"/>
        </w:rPr>
        <w:t>:</w:t>
      </w:r>
    </w:p>
    <w:p w14:paraId="2B7EDCA1" w14:textId="7D27C34A" w:rsidR="00F64C43"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r w:rsidR="00734239" w:rsidRPr="0037183B">
        <w:rPr>
          <w:rFonts w:ascii="Arial" w:hAnsi="Arial" w:cs="Arial"/>
          <w:color w:val="1F3864" w:themeColor="accent1" w:themeShade="80"/>
          <w:sz w:val="20"/>
          <w:szCs w:val="20"/>
          <w:u w:val="single"/>
        </w:rPr>
        <w:t xml:space="preserve"> </w:t>
      </w:r>
    </w:p>
    <w:p w14:paraId="09CE5BAF" w14:textId="138265CB" w:rsidR="000E5783"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napToGrid w:val="0"/>
          <w:color w:val="002060"/>
          <w:sz w:val="20"/>
          <w:szCs w:val="18"/>
          <w:u w:val="single"/>
          <w:lang w:eastAsia="fr-FR"/>
        </w:rPr>
      </w:pPr>
      <w:r w:rsidRPr="00A55E94">
        <w:rPr>
          <w:rFonts w:ascii="Arial" w:eastAsia="Times New Roman" w:hAnsi="Arial" w:cs="Arial"/>
          <w:snapToGrid w:val="0"/>
          <w:color w:val="002060"/>
          <w:sz w:val="20"/>
          <w:szCs w:val="18"/>
          <w:u w:val="single"/>
          <w:lang w:eastAsia="fr-FR"/>
        </w:rPr>
        <w:fldChar w:fldCharType="begin"/>
      </w:r>
      <w:r w:rsidRPr="00A55E94">
        <w:rPr>
          <w:rFonts w:ascii="Arial" w:eastAsia="Times New Roman" w:hAnsi="Arial" w:cs="Arial"/>
          <w:snapToGrid w:val="0"/>
          <w:color w:val="002060"/>
          <w:sz w:val="20"/>
          <w:szCs w:val="18"/>
          <w:u w:val="single"/>
          <w:lang w:eastAsia="fr-FR"/>
        </w:rPr>
        <w:instrText xml:space="preserve"> REF _Ref13572784 \h  \* MERGEFORMAT </w:instrText>
      </w:r>
      <w:r w:rsidRPr="00A55E94">
        <w:rPr>
          <w:rFonts w:ascii="Arial" w:eastAsia="Times New Roman" w:hAnsi="Arial" w:cs="Arial"/>
          <w:snapToGrid w:val="0"/>
          <w:color w:val="002060"/>
          <w:sz w:val="20"/>
          <w:szCs w:val="18"/>
          <w:u w:val="single"/>
          <w:lang w:eastAsia="fr-FR"/>
        </w:rPr>
      </w:r>
      <w:r w:rsidRPr="00A55E94">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Negotiated Deals</w:t>
      </w:r>
      <w:r w:rsidRPr="00A55E94">
        <w:rPr>
          <w:rFonts w:ascii="Arial" w:eastAsia="Times New Roman" w:hAnsi="Arial" w:cs="Arial"/>
          <w:snapToGrid w:val="0"/>
          <w:color w:val="002060"/>
          <w:sz w:val="20"/>
          <w:szCs w:val="18"/>
          <w:u w:val="single"/>
          <w:lang w:eastAsia="fr-FR"/>
        </w:rPr>
        <w:fldChar w:fldCharType="end"/>
      </w:r>
    </w:p>
    <w:p w14:paraId="46609E8C" w14:textId="4ED05181" w:rsidR="00982D86" w:rsidRPr="000E5783" w:rsidRDefault="000E5783"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napToGrid w:val="0"/>
          <w:color w:val="002060"/>
          <w:sz w:val="20"/>
          <w:szCs w:val="18"/>
          <w:u w:val="single"/>
          <w:lang w:eastAsia="fr-FR"/>
        </w:rPr>
      </w:pPr>
      <w:r w:rsidRPr="000E5783">
        <w:rPr>
          <w:rFonts w:ascii="Arial" w:hAnsi="Arial" w:cs="Arial"/>
          <w:color w:val="1F3864" w:themeColor="accent1" w:themeShade="80"/>
          <w:sz w:val="20"/>
          <w:szCs w:val="20"/>
          <w:u w:val="single"/>
        </w:rPr>
        <w:fldChar w:fldCharType="begin"/>
      </w:r>
      <w:r w:rsidRPr="000E5783">
        <w:rPr>
          <w:rFonts w:ascii="Arial" w:hAnsi="Arial" w:cs="Arial"/>
          <w:color w:val="1F3864" w:themeColor="accent1" w:themeShade="80"/>
          <w:sz w:val="20"/>
          <w:szCs w:val="20"/>
          <w:u w:val="single"/>
        </w:rPr>
        <w:instrText xml:space="preserve"> REF _Ref13573188 \h  \* MERGEFORMAT </w:instrText>
      </w:r>
      <w:r w:rsidRPr="000E5783">
        <w:rPr>
          <w:rFonts w:ascii="Arial" w:hAnsi="Arial" w:cs="Arial"/>
          <w:color w:val="1F3864" w:themeColor="accent1" w:themeShade="80"/>
          <w:sz w:val="20"/>
          <w:szCs w:val="20"/>
          <w:u w:val="single"/>
        </w:rPr>
      </w:r>
      <w:r w:rsidRPr="000E5783">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Reported Trades</w:t>
      </w:r>
      <w:r w:rsidRPr="000E5783">
        <w:rPr>
          <w:rFonts w:ascii="Arial" w:hAnsi="Arial" w:cs="Arial"/>
          <w:color w:val="1F3864" w:themeColor="accent1" w:themeShade="80"/>
          <w:sz w:val="20"/>
          <w:szCs w:val="20"/>
          <w:u w:val="single"/>
        </w:rPr>
        <w:fldChar w:fldCharType="end"/>
      </w:r>
    </w:p>
    <w:p w14:paraId="31DFE186" w14:textId="77777777" w:rsidR="000E5783" w:rsidRPr="000E5783" w:rsidRDefault="000E5783" w:rsidP="000E578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eastAsia="Times New Roman" w:hAnsi="Arial" w:cs="Arial"/>
          <w:snapToGrid w:val="0"/>
          <w:color w:val="002060"/>
          <w:sz w:val="20"/>
          <w:szCs w:val="18"/>
          <w:u w:val="single"/>
          <w:lang w:eastAsia="fr-FR"/>
        </w:rPr>
      </w:pPr>
    </w:p>
    <w:p w14:paraId="32822135" w14:textId="4CE8934A" w:rsidR="00264624" w:rsidRPr="00264624" w:rsidRDefault="00574031"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through IPO (Domestic)</w:t>
      </w:r>
      <w:r w:rsidR="00680D29">
        <w:rPr>
          <w:rStyle w:val="FootnoteReference"/>
          <w:rFonts w:ascii="Arial" w:eastAsia="Times New Roman" w:hAnsi="Arial" w:cs="Arial"/>
          <w:b/>
          <w:snapToGrid w:val="0"/>
          <w:spacing w:val="-3"/>
          <w:szCs w:val="20"/>
          <w:lang w:eastAsia="fr-FR"/>
        </w:rPr>
        <w:footnoteReference w:id="1"/>
      </w:r>
    </w:p>
    <w:p w14:paraId="4540C6E5" w14:textId="7702DDCA" w:rsidR="00264624" w:rsidRPr="00264624" w:rsidRDefault="00574031"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through IPO (Foreign)</w:t>
      </w:r>
    </w:p>
    <w:p w14:paraId="611B1475" w14:textId="66198D88" w:rsidR="00264624" w:rsidRPr="00264624" w:rsidRDefault="00574031"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through IPO (Total)</w:t>
      </w:r>
    </w:p>
    <w:p w14:paraId="19FC72B1" w14:textId="77777777" w:rsidR="006834FA" w:rsidRDefault="006834F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F781C10" w14:textId="25B3AA98" w:rsidR="002E2706" w:rsidRDefault="00FA51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companies, split between </w:t>
      </w:r>
      <w:r w:rsidR="00CF79EE" w:rsidRPr="000B331A">
        <w:rPr>
          <w:rFonts w:ascii="Arial" w:eastAsia="Times New Roman" w:hAnsi="Arial" w:cs="Arial"/>
          <w:snapToGrid w:val="0"/>
          <w:color w:val="002060"/>
          <w:sz w:val="20"/>
          <w:szCs w:val="20"/>
          <w:u w:val="single"/>
          <w:lang w:eastAsia="fr-FR"/>
        </w:rPr>
        <w:fldChar w:fldCharType="begin"/>
      </w:r>
      <w:r w:rsidR="00CF79EE" w:rsidRPr="000B331A">
        <w:rPr>
          <w:rFonts w:ascii="Arial" w:eastAsia="Times New Roman" w:hAnsi="Arial" w:cs="Arial"/>
          <w:snapToGrid w:val="0"/>
          <w:color w:val="002060"/>
          <w:sz w:val="20"/>
          <w:szCs w:val="20"/>
          <w:u w:val="single"/>
          <w:lang w:eastAsia="fr-FR"/>
        </w:rPr>
        <w:instrText xml:space="preserve"> REF _Ref13563231 \h  \* MERGEFORMAT </w:instrText>
      </w:r>
      <w:r w:rsidR="00CF79EE" w:rsidRPr="000B331A">
        <w:rPr>
          <w:rFonts w:ascii="Arial" w:eastAsia="Times New Roman" w:hAnsi="Arial" w:cs="Arial"/>
          <w:snapToGrid w:val="0"/>
          <w:color w:val="002060"/>
          <w:sz w:val="20"/>
          <w:szCs w:val="20"/>
          <w:u w:val="single"/>
          <w:lang w:eastAsia="fr-FR"/>
        </w:rPr>
      </w:r>
      <w:r w:rsidR="00CF79EE" w:rsidRPr="000B331A">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0B331A">
        <w:rPr>
          <w:rFonts w:ascii="Arial" w:eastAsia="Times New Roman" w:hAnsi="Arial" w:cs="Arial"/>
          <w:snapToGrid w:val="0"/>
          <w:color w:val="002060"/>
          <w:sz w:val="20"/>
          <w:szCs w:val="20"/>
          <w:u w:val="single"/>
          <w:lang w:eastAsia="fr-FR"/>
        </w:rPr>
        <w:fldChar w:fldCharType="end"/>
      </w:r>
      <w:r w:rsidR="00FA680B">
        <w:rPr>
          <w:rFonts w:ascii="Arial" w:eastAsia="Times New Roman" w:hAnsi="Arial" w:cs="Arial"/>
          <w:snapToGrid w:val="0"/>
          <w:color w:val="002060"/>
          <w:sz w:val="20"/>
          <w:szCs w:val="20"/>
          <w:u w:val="single"/>
          <w:lang w:eastAsia="fr-FR"/>
        </w:rPr>
        <w:t xml:space="preserve"> </w:t>
      </w:r>
      <w:r w:rsidRPr="00490F9F">
        <w:rPr>
          <w:rFonts w:ascii="Arial" w:hAnsi="Arial" w:cs="Arial"/>
          <w:spacing w:val="-3"/>
          <w:sz w:val="20"/>
        </w:rPr>
        <w:t xml:space="preserve">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Pr="00490F9F">
        <w:rPr>
          <w:rFonts w:ascii="Arial" w:hAnsi="Arial" w:cs="Arial"/>
          <w:spacing w:val="-3"/>
          <w:sz w:val="20"/>
        </w:rPr>
        <w:t>, whose shares were admitted to listing during the period through an offer of subscription and/or sales of shares (</w:t>
      </w:r>
      <w:r w:rsidR="000B331A" w:rsidRPr="00BD1ECB">
        <w:rPr>
          <w:rFonts w:ascii="Arial" w:eastAsia="Times New Roman" w:hAnsi="Arial" w:cs="Arial"/>
          <w:snapToGrid w:val="0"/>
          <w:color w:val="002060"/>
          <w:sz w:val="20"/>
          <w:szCs w:val="20"/>
          <w:u w:val="single"/>
          <w:lang w:eastAsia="fr-FR"/>
        </w:rPr>
        <w:fldChar w:fldCharType="begin"/>
      </w:r>
      <w:r w:rsidR="000B331A" w:rsidRPr="00BD1ECB">
        <w:rPr>
          <w:rFonts w:ascii="Arial" w:eastAsia="Times New Roman" w:hAnsi="Arial" w:cs="Arial"/>
          <w:snapToGrid w:val="0"/>
          <w:color w:val="002060"/>
          <w:sz w:val="20"/>
          <w:szCs w:val="20"/>
          <w:u w:val="single"/>
          <w:lang w:eastAsia="fr-FR"/>
        </w:rPr>
        <w:instrText xml:space="preserve"> REF _Ref13549272 \h </w:instrText>
      </w:r>
      <w:r w:rsidR="00BD1ECB">
        <w:rPr>
          <w:rFonts w:ascii="Arial" w:eastAsia="Times New Roman" w:hAnsi="Arial" w:cs="Arial"/>
          <w:snapToGrid w:val="0"/>
          <w:color w:val="002060"/>
          <w:sz w:val="20"/>
          <w:szCs w:val="20"/>
          <w:u w:val="single"/>
          <w:lang w:eastAsia="fr-FR"/>
        </w:rPr>
        <w:instrText xml:space="preserve"> \* MERGEFORMAT </w:instrText>
      </w:r>
      <w:r w:rsidR="000B331A" w:rsidRPr="00BD1ECB">
        <w:rPr>
          <w:rFonts w:ascii="Arial" w:eastAsia="Times New Roman" w:hAnsi="Arial" w:cs="Arial"/>
          <w:snapToGrid w:val="0"/>
          <w:color w:val="002060"/>
          <w:sz w:val="20"/>
          <w:szCs w:val="20"/>
          <w:u w:val="single"/>
          <w:lang w:eastAsia="fr-FR"/>
        </w:rPr>
      </w:r>
      <w:r w:rsidR="000B331A" w:rsidRPr="00BD1ECB">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Initial Public Offering</w:t>
      </w:r>
      <w:r w:rsidR="000B331A" w:rsidRPr="00BD1ECB">
        <w:rPr>
          <w:rFonts w:ascii="Arial" w:eastAsia="Times New Roman" w:hAnsi="Arial" w:cs="Arial"/>
          <w:snapToGrid w:val="0"/>
          <w:color w:val="002060"/>
          <w:sz w:val="20"/>
          <w:szCs w:val="20"/>
          <w:u w:val="single"/>
          <w:lang w:eastAsia="fr-FR"/>
        </w:rPr>
        <w:fldChar w:fldCharType="end"/>
      </w:r>
      <w:r w:rsidRPr="00490F9F">
        <w:rPr>
          <w:rFonts w:ascii="Arial" w:hAnsi="Arial" w:cs="Arial"/>
          <w:spacing w:val="-3"/>
          <w:sz w:val="20"/>
        </w:rPr>
        <w:t>). A company with several classes of shares is just counted once. Only companies admitted to listing are included in the data.</w:t>
      </w:r>
    </w:p>
    <w:p w14:paraId="67071804" w14:textId="734C890B" w:rsidR="003E3EFD" w:rsidRPr="00DB5F8B" w:rsidRDefault="003E3EFD"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Total Number of new listings through IPO is calculated by summing the </w:t>
      </w:r>
      <w:r w:rsidRPr="003E3EFD">
        <w:rPr>
          <w:rFonts w:ascii="Arial" w:hAnsi="Arial" w:cs="Arial"/>
          <w:spacing w:val="-3"/>
          <w:sz w:val="20"/>
        </w:rPr>
        <w:t>Number of new listings through IPO (Domestic)</w:t>
      </w:r>
      <w:r>
        <w:rPr>
          <w:rFonts w:ascii="Arial" w:hAnsi="Arial" w:cs="Arial"/>
          <w:spacing w:val="-3"/>
          <w:sz w:val="20"/>
        </w:rPr>
        <w:t xml:space="preserve"> and the </w:t>
      </w:r>
      <w:r w:rsidRPr="003E3EFD">
        <w:rPr>
          <w:rFonts w:ascii="Arial" w:hAnsi="Arial" w:cs="Arial"/>
          <w:spacing w:val="-3"/>
          <w:sz w:val="20"/>
        </w:rPr>
        <w:t>Number of new listings through IPO (</w:t>
      </w:r>
      <w:r>
        <w:rPr>
          <w:rFonts w:ascii="Arial" w:hAnsi="Arial" w:cs="Arial"/>
          <w:spacing w:val="-3"/>
          <w:sz w:val="20"/>
        </w:rPr>
        <w:t>Foreign</w:t>
      </w:r>
      <w:r w:rsidRPr="003E3EFD">
        <w:rPr>
          <w:rFonts w:ascii="Arial" w:hAnsi="Arial" w:cs="Arial"/>
          <w:spacing w:val="-3"/>
          <w:sz w:val="20"/>
        </w:rPr>
        <w:t>)</w:t>
      </w:r>
      <w:r>
        <w:rPr>
          <w:rFonts w:ascii="Arial" w:hAnsi="Arial" w:cs="Arial"/>
          <w:spacing w:val="-3"/>
          <w:sz w:val="20"/>
        </w:rPr>
        <w:t>.</w:t>
      </w:r>
    </w:p>
    <w:p w14:paraId="0951A681" w14:textId="77777777" w:rsidR="003775B8" w:rsidRDefault="003775B8" w:rsidP="00E91CD3">
      <w:pPr>
        <w:spacing w:after="0" w:line="240" w:lineRule="auto"/>
        <w:rPr>
          <w:rFonts w:ascii="Arial" w:eastAsia="Times New Roman" w:hAnsi="Arial" w:cs="Arial"/>
          <w:b/>
          <w:snapToGrid w:val="0"/>
          <w:spacing w:val="-3"/>
          <w:szCs w:val="20"/>
          <w:lang w:eastAsia="fr-FR"/>
        </w:rPr>
      </w:pPr>
    </w:p>
    <w:p w14:paraId="66ECC177" w14:textId="74CD76C0" w:rsidR="00264624" w:rsidRP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not through IPO (Domestic)</w:t>
      </w:r>
    </w:p>
    <w:p w14:paraId="23C6E0D4" w14:textId="635FD107" w:rsidR="00264624" w:rsidRP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not through IPO (Foreign)</w:t>
      </w:r>
    </w:p>
    <w:p w14:paraId="1FABDC64" w14:textId="6DE2EA0C" w:rsidR="00264624" w:rsidRP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not through IPO (Total)</w:t>
      </w:r>
    </w:p>
    <w:p w14:paraId="3F06172C" w14:textId="77777777" w:rsidR="00AC7754" w:rsidRDefault="00AC77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42CACF" w14:textId="154FB452" w:rsidR="0068727F" w:rsidRPr="00490F9F"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companies, split between </w:t>
      </w:r>
      <w:r w:rsidR="00CF79EE" w:rsidRPr="00A55E94">
        <w:rPr>
          <w:rFonts w:ascii="Arial" w:eastAsia="Times New Roman" w:hAnsi="Arial" w:cs="Arial"/>
          <w:snapToGrid w:val="0"/>
          <w:color w:val="002060"/>
          <w:sz w:val="20"/>
          <w:szCs w:val="18"/>
          <w:u w:val="single"/>
          <w:lang w:eastAsia="fr-FR"/>
        </w:rPr>
        <w:fldChar w:fldCharType="begin"/>
      </w:r>
      <w:r w:rsidR="00CF79EE" w:rsidRPr="00A55E94">
        <w:rPr>
          <w:rFonts w:ascii="Arial" w:eastAsia="Times New Roman" w:hAnsi="Arial" w:cs="Arial"/>
          <w:snapToGrid w:val="0"/>
          <w:color w:val="002060"/>
          <w:sz w:val="20"/>
          <w:szCs w:val="18"/>
          <w:u w:val="single"/>
          <w:lang w:eastAsia="fr-FR"/>
        </w:rPr>
        <w:instrText xml:space="preserve"> REF _Ref13563231 \h  \* MERGEFORMAT </w:instrText>
      </w:r>
      <w:r w:rsidR="00CF79EE" w:rsidRPr="00A55E94">
        <w:rPr>
          <w:rFonts w:ascii="Arial" w:eastAsia="Times New Roman" w:hAnsi="Arial" w:cs="Arial"/>
          <w:snapToGrid w:val="0"/>
          <w:color w:val="002060"/>
          <w:sz w:val="20"/>
          <w:szCs w:val="18"/>
          <w:u w:val="single"/>
          <w:lang w:eastAsia="fr-FR"/>
        </w:rPr>
      </w:r>
      <w:r w:rsidR="00CF79EE" w:rsidRPr="00A55E94">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Domestic Companies</w:t>
      </w:r>
      <w:r w:rsidR="00CF79EE" w:rsidRPr="00A55E94">
        <w:rPr>
          <w:rFonts w:ascii="Arial" w:eastAsia="Times New Roman" w:hAnsi="Arial" w:cs="Arial"/>
          <w:snapToGrid w:val="0"/>
          <w:color w:val="002060"/>
          <w:sz w:val="20"/>
          <w:szCs w:val="18"/>
          <w:u w:val="single"/>
          <w:lang w:eastAsia="fr-FR"/>
        </w:rPr>
        <w:fldChar w:fldCharType="end"/>
      </w:r>
      <w:r w:rsidRPr="00490F9F">
        <w:rPr>
          <w:rFonts w:ascii="Arial" w:hAnsi="Arial" w:cs="Arial"/>
          <w:spacing w:val="-3"/>
          <w:sz w:val="20"/>
        </w:rPr>
        <w:t xml:space="preserve"> 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Pr="00CB68F5">
        <w:rPr>
          <w:rFonts w:ascii="Arial" w:hAnsi="Arial" w:cs="Arial"/>
          <w:color w:val="1F3864" w:themeColor="accent1" w:themeShade="80"/>
          <w:spacing w:val="-3"/>
          <w:sz w:val="20"/>
          <w:szCs w:val="20"/>
          <w:u w:val="single"/>
        </w:rPr>
        <w:fldChar w:fldCharType="begin"/>
      </w:r>
      <w:r w:rsidRPr="00CB68F5">
        <w:rPr>
          <w:rFonts w:ascii="Arial" w:hAnsi="Arial" w:cs="Arial"/>
          <w:color w:val="1F3864" w:themeColor="accent1" w:themeShade="80"/>
          <w:spacing w:val="-3"/>
          <w:sz w:val="20"/>
          <w:szCs w:val="20"/>
          <w:u w:val="single"/>
        </w:rPr>
        <w:instrText xml:space="preserve"> REF _Ref7777184 \h  \* MERGEFORMAT </w:instrText>
      </w:r>
      <w:r w:rsidRPr="00CB68F5">
        <w:rPr>
          <w:rFonts w:ascii="Arial" w:hAnsi="Arial" w:cs="Arial"/>
          <w:color w:val="1F3864" w:themeColor="accent1" w:themeShade="80"/>
          <w:spacing w:val="-3"/>
          <w:sz w:val="20"/>
          <w:szCs w:val="20"/>
          <w:u w:val="single"/>
        </w:rPr>
      </w:r>
      <w:r w:rsidRPr="00CB68F5">
        <w:rPr>
          <w:rFonts w:ascii="Arial" w:hAnsi="Arial" w:cs="Arial"/>
          <w:color w:val="1F3864" w:themeColor="accent1" w:themeShade="80"/>
          <w:spacing w:val="-3"/>
          <w:sz w:val="20"/>
          <w:szCs w:val="20"/>
          <w:u w:val="single"/>
        </w:rPr>
        <w:fldChar w:fldCharType="separate"/>
      </w:r>
      <w:r w:rsidR="0094528E">
        <w:rPr>
          <w:rFonts w:ascii="Arial" w:hAnsi="Arial" w:cs="Arial"/>
          <w:b/>
          <w:bCs/>
          <w:color w:val="1F3864" w:themeColor="accent1" w:themeShade="80"/>
          <w:spacing w:val="-3"/>
          <w:sz w:val="20"/>
          <w:szCs w:val="20"/>
          <w:u w:val="single"/>
          <w:lang w:val="en-US"/>
        </w:rPr>
        <w:t xml:space="preserve">Error! Reference source not </w:t>
      </w:r>
      <w:proofErr w:type="gramStart"/>
      <w:r w:rsidR="0094528E">
        <w:rPr>
          <w:rFonts w:ascii="Arial" w:hAnsi="Arial" w:cs="Arial"/>
          <w:b/>
          <w:bCs/>
          <w:color w:val="1F3864" w:themeColor="accent1" w:themeShade="80"/>
          <w:spacing w:val="-3"/>
          <w:sz w:val="20"/>
          <w:szCs w:val="20"/>
          <w:u w:val="single"/>
          <w:lang w:val="en-US"/>
        </w:rPr>
        <w:t>found.</w:t>
      </w:r>
      <w:r w:rsidRPr="00CB68F5">
        <w:rPr>
          <w:rFonts w:ascii="Arial" w:hAnsi="Arial" w:cs="Arial"/>
          <w:color w:val="1F3864" w:themeColor="accent1" w:themeShade="80"/>
          <w:spacing w:val="-3"/>
          <w:sz w:val="20"/>
          <w:szCs w:val="20"/>
          <w:u w:val="single"/>
        </w:rPr>
        <w:fldChar w:fldCharType="end"/>
      </w:r>
      <w:r w:rsidRPr="00490F9F">
        <w:rPr>
          <w:rFonts w:ascii="Arial" w:hAnsi="Arial" w:cs="Arial"/>
          <w:spacing w:val="-3"/>
          <w:sz w:val="20"/>
        </w:rPr>
        <w:t>,</w:t>
      </w:r>
      <w:proofErr w:type="gramEnd"/>
      <w:r w:rsidRPr="00490F9F">
        <w:rPr>
          <w:rFonts w:ascii="Arial" w:hAnsi="Arial" w:cs="Arial"/>
          <w:spacing w:val="-3"/>
          <w:sz w:val="20"/>
        </w:rPr>
        <w:t xml:space="preserve"> whose shares were admitted to listing during the period through a procedure other than an </w:t>
      </w:r>
      <w:r w:rsidR="004D43E6">
        <w:rPr>
          <w:rFonts w:ascii="Arial" w:hAnsi="Arial" w:cs="Arial"/>
          <w:spacing w:val="-3"/>
          <w:sz w:val="20"/>
        </w:rPr>
        <w:fldChar w:fldCharType="begin"/>
      </w:r>
      <w:r w:rsidR="004D43E6">
        <w:rPr>
          <w:rFonts w:ascii="Arial" w:hAnsi="Arial" w:cs="Arial"/>
          <w:spacing w:val="-3"/>
          <w:sz w:val="20"/>
        </w:rPr>
        <w:instrText xml:space="preserve"> REF _Ref13549272 \h </w:instrText>
      </w:r>
      <w:r w:rsidR="004D43E6">
        <w:rPr>
          <w:rFonts w:ascii="Arial" w:hAnsi="Arial" w:cs="Arial"/>
          <w:spacing w:val="-3"/>
          <w:sz w:val="20"/>
        </w:rPr>
      </w:r>
      <w:r w:rsidR="004D43E6">
        <w:rPr>
          <w:rFonts w:ascii="Arial" w:hAnsi="Arial" w:cs="Arial"/>
          <w:spacing w:val="-3"/>
          <w:sz w:val="20"/>
        </w:rPr>
        <w:fldChar w:fldCharType="separate"/>
      </w:r>
      <w:r w:rsidR="0094528E">
        <w:t>Initial Public Offering</w:t>
      </w:r>
      <w:r w:rsidR="004D43E6">
        <w:rPr>
          <w:rFonts w:ascii="Arial" w:hAnsi="Arial" w:cs="Arial"/>
          <w:spacing w:val="-3"/>
          <w:sz w:val="20"/>
        </w:rPr>
        <w:fldChar w:fldCharType="end"/>
      </w:r>
      <w:r w:rsidR="00341B8D" w:rsidRPr="00BD1ECB">
        <w:rPr>
          <w:rFonts w:ascii="Arial" w:eastAsia="Times New Roman" w:hAnsi="Arial" w:cs="Arial"/>
          <w:snapToGrid w:val="0"/>
          <w:color w:val="002060"/>
          <w:sz w:val="20"/>
          <w:szCs w:val="20"/>
          <w:u w:val="single"/>
          <w:lang w:eastAsia="fr-FR"/>
        </w:rPr>
        <w:fldChar w:fldCharType="begin"/>
      </w:r>
      <w:r w:rsidR="00341B8D" w:rsidRPr="00BD1ECB">
        <w:rPr>
          <w:rFonts w:ascii="Arial" w:eastAsia="Times New Roman" w:hAnsi="Arial" w:cs="Arial"/>
          <w:snapToGrid w:val="0"/>
          <w:color w:val="002060"/>
          <w:sz w:val="20"/>
          <w:szCs w:val="20"/>
          <w:u w:val="single"/>
          <w:lang w:eastAsia="fr-FR"/>
        </w:rPr>
        <w:instrText xml:space="preserve"> REF _Ref7786901 \h  \* MERGEFORMAT </w:instrText>
      </w:r>
      <w:r w:rsidR="00341B8D" w:rsidRPr="00BD1ECB">
        <w:rPr>
          <w:rFonts w:ascii="Arial" w:eastAsia="Times New Roman" w:hAnsi="Arial" w:cs="Arial"/>
          <w:snapToGrid w:val="0"/>
          <w:color w:val="002060"/>
          <w:sz w:val="20"/>
          <w:szCs w:val="20"/>
          <w:u w:val="single"/>
          <w:lang w:eastAsia="fr-FR"/>
        </w:rPr>
      </w:r>
      <w:r w:rsidR="00341B8D" w:rsidRPr="00BD1ECB">
        <w:rPr>
          <w:rFonts w:ascii="Arial" w:eastAsia="Times New Roman" w:hAnsi="Arial" w:cs="Arial"/>
          <w:snapToGrid w:val="0"/>
          <w:color w:val="002060"/>
          <w:sz w:val="20"/>
          <w:szCs w:val="20"/>
          <w:u w:val="single"/>
          <w:lang w:eastAsia="fr-FR"/>
        </w:rPr>
        <w:fldChar w:fldCharType="separate"/>
      </w:r>
      <w:r w:rsidR="0094528E">
        <w:rPr>
          <w:rFonts w:ascii="Arial" w:eastAsia="Times New Roman" w:hAnsi="Arial" w:cs="Arial"/>
          <w:b/>
          <w:bCs/>
          <w:snapToGrid w:val="0"/>
          <w:color w:val="002060"/>
          <w:sz w:val="20"/>
          <w:szCs w:val="20"/>
          <w:u w:val="single"/>
          <w:lang w:val="en-US" w:eastAsia="fr-FR"/>
        </w:rPr>
        <w:t>Error! Reference source not found.</w:t>
      </w:r>
      <w:r w:rsidR="00341B8D" w:rsidRPr="00BD1ECB">
        <w:rPr>
          <w:rFonts w:ascii="Arial" w:eastAsia="Times New Roman" w:hAnsi="Arial" w:cs="Arial"/>
          <w:snapToGrid w:val="0"/>
          <w:color w:val="002060"/>
          <w:sz w:val="20"/>
          <w:szCs w:val="20"/>
          <w:u w:val="single"/>
          <w:lang w:eastAsia="fr-FR"/>
        </w:rPr>
        <w:fldChar w:fldCharType="end"/>
      </w:r>
      <w:r w:rsidRPr="00490F9F">
        <w:rPr>
          <w:rFonts w:ascii="Arial" w:hAnsi="Arial" w:cs="Arial"/>
          <w:spacing w:val="-3"/>
          <w:sz w:val="20"/>
        </w:rPr>
        <w:t xml:space="preserve"> (</w:t>
      </w:r>
      <w:proofErr w:type="gramStart"/>
      <w:r w:rsidRPr="00490F9F">
        <w:rPr>
          <w:rFonts w:ascii="Arial" w:hAnsi="Arial" w:cs="Arial"/>
          <w:spacing w:val="-3"/>
          <w:sz w:val="20"/>
        </w:rPr>
        <w:t>e.g</w:t>
      </w:r>
      <w:proofErr w:type="gramEnd"/>
      <w:r w:rsidRPr="00490F9F">
        <w:rPr>
          <w:rFonts w:ascii="Arial" w:hAnsi="Arial" w:cs="Arial"/>
          <w:spacing w:val="-3"/>
          <w:sz w:val="20"/>
        </w:rPr>
        <w:t xml:space="preserve">. splits, mergers, or having already floated shares). A company with several classes of shares is just counted once. </w:t>
      </w:r>
    </w:p>
    <w:p w14:paraId="298103EF"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FDC7A25" w14:textId="37DCB7B9" w:rsidR="0068727F"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Only companies admitted to listing are included in the data.</w:t>
      </w:r>
    </w:p>
    <w:p w14:paraId="111683AF" w14:textId="1CFA1616" w:rsidR="003E3EFD" w:rsidRPr="00490F9F" w:rsidRDefault="003E3EFD"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Total Number of new listings not through IPO is calculated by summing the </w:t>
      </w:r>
      <w:r w:rsidRPr="003E3EFD">
        <w:rPr>
          <w:rFonts w:ascii="Arial" w:hAnsi="Arial" w:cs="Arial"/>
          <w:spacing w:val="-3"/>
          <w:sz w:val="20"/>
        </w:rPr>
        <w:t xml:space="preserve">Number of new listings </w:t>
      </w:r>
      <w:r>
        <w:rPr>
          <w:rFonts w:ascii="Arial" w:hAnsi="Arial" w:cs="Arial"/>
          <w:spacing w:val="-3"/>
          <w:sz w:val="20"/>
        </w:rPr>
        <w:t xml:space="preserve">not </w:t>
      </w:r>
      <w:r w:rsidRPr="003E3EFD">
        <w:rPr>
          <w:rFonts w:ascii="Arial" w:hAnsi="Arial" w:cs="Arial"/>
          <w:spacing w:val="-3"/>
          <w:sz w:val="20"/>
        </w:rPr>
        <w:t>through IPO (Domestic)</w:t>
      </w:r>
      <w:r>
        <w:rPr>
          <w:rFonts w:ascii="Arial" w:hAnsi="Arial" w:cs="Arial"/>
          <w:spacing w:val="-3"/>
          <w:sz w:val="20"/>
        </w:rPr>
        <w:t xml:space="preserve"> and the </w:t>
      </w:r>
      <w:r w:rsidRPr="003E3EFD">
        <w:rPr>
          <w:rFonts w:ascii="Arial" w:hAnsi="Arial" w:cs="Arial"/>
          <w:spacing w:val="-3"/>
          <w:sz w:val="20"/>
        </w:rPr>
        <w:t xml:space="preserve">Number of new listings </w:t>
      </w:r>
      <w:r>
        <w:rPr>
          <w:rFonts w:ascii="Arial" w:hAnsi="Arial" w:cs="Arial"/>
          <w:spacing w:val="-3"/>
          <w:sz w:val="20"/>
        </w:rPr>
        <w:t xml:space="preserve">not </w:t>
      </w:r>
      <w:r w:rsidRPr="003E3EFD">
        <w:rPr>
          <w:rFonts w:ascii="Arial" w:hAnsi="Arial" w:cs="Arial"/>
          <w:spacing w:val="-3"/>
          <w:sz w:val="20"/>
        </w:rPr>
        <w:t>through IPO (</w:t>
      </w:r>
      <w:r>
        <w:rPr>
          <w:rFonts w:ascii="Arial" w:hAnsi="Arial" w:cs="Arial"/>
          <w:spacing w:val="-3"/>
          <w:sz w:val="20"/>
        </w:rPr>
        <w:t>Foreign</w:t>
      </w:r>
      <w:r w:rsidRPr="003E3EFD">
        <w:rPr>
          <w:rFonts w:ascii="Arial" w:hAnsi="Arial" w:cs="Arial"/>
          <w:spacing w:val="-3"/>
          <w:sz w:val="20"/>
        </w:rPr>
        <w:t>)</w:t>
      </w:r>
      <w:r>
        <w:rPr>
          <w:rFonts w:ascii="Arial" w:hAnsi="Arial" w:cs="Arial"/>
          <w:spacing w:val="-3"/>
          <w:sz w:val="20"/>
        </w:rPr>
        <w:t>.</w:t>
      </w:r>
    </w:p>
    <w:p w14:paraId="3CDAFB05" w14:textId="77777777" w:rsidR="00FA2FEF" w:rsidRDefault="00FA2FEF" w:rsidP="00E91CD3">
      <w:pPr>
        <w:suppressAutoHyphens/>
        <w:spacing w:after="0" w:line="240" w:lineRule="auto"/>
        <w:jc w:val="both"/>
        <w:rPr>
          <w:rFonts w:ascii="Arial" w:hAnsi="Arial" w:cs="Arial"/>
          <w:bCs/>
          <w:i/>
          <w:sz w:val="20"/>
          <w:u w:val="single"/>
        </w:rPr>
      </w:pPr>
    </w:p>
    <w:p w14:paraId="2E451C0F" w14:textId="4E2D59CD" w:rsidR="0068727F" w:rsidRPr="00490F9F" w:rsidRDefault="0068727F" w:rsidP="00E91CD3">
      <w:pPr>
        <w:suppressAutoHyphens/>
        <w:spacing w:after="0" w:line="240" w:lineRule="auto"/>
        <w:jc w:val="both"/>
        <w:rPr>
          <w:rFonts w:ascii="Arial" w:hAnsi="Arial" w:cs="Arial"/>
          <w:bCs/>
          <w:i/>
          <w:sz w:val="20"/>
          <w:u w:val="single"/>
        </w:rPr>
      </w:pPr>
      <w:r w:rsidRPr="00490F9F">
        <w:rPr>
          <w:rFonts w:ascii="Arial" w:hAnsi="Arial" w:cs="Arial"/>
          <w:bCs/>
          <w:i/>
          <w:sz w:val="20"/>
          <w:u w:val="single"/>
        </w:rPr>
        <w:t>Example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92"/>
        <w:gridCol w:w="1300"/>
        <w:gridCol w:w="1301"/>
        <w:gridCol w:w="1301"/>
        <w:gridCol w:w="1590"/>
        <w:gridCol w:w="1375"/>
        <w:gridCol w:w="1180"/>
      </w:tblGrid>
      <w:tr w:rsidR="0068727F" w:rsidRPr="00490F9F" w14:paraId="2EE2C7A4" w14:textId="77777777" w:rsidTr="00341B8D">
        <w:trPr>
          <w:trHeight w:val="20"/>
        </w:trPr>
        <w:tc>
          <w:tcPr>
            <w:tcW w:w="1592" w:type="dxa"/>
            <w:shd w:val="clear" w:color="auto" w:fill="00709E"/>
            <w:vAlign w:val="center"/>
          </w:tcPr>
          <w:p w14:paraId="69CBE9FA"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Company</w:t>
            </w:r>
          </w:p>
        </w:tc>
        <w:tc>
          <w:tcPr>
            <w:tcW w:w="1300" w:type="dxa"/>
            <w:shd w:val="clear" w:color="auto" w:fill="00709E"/>
            <w:vAlign w:val="center"/>
          </w:tcPr>
          <w:p w14:paraId="4EDC0DDC"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New domestic company (IPO)</w:t>
            </w:r>
          </w:p>
        </w:tc>
        <w:tc>
          <w:tcPr>
            <w:tcW w:w="1301" w:type="dxa"/>
            <w:shd w:val="clear" w:color="auto" w:fill="00709E"/>
            <w:vAlign w:val="center"/>
          </w:tcPr>
          <w:p w14:paraId="6B0C9C4B"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New foreign company (IPO)</w:t>
            </w:r>
          </w:p>
        </w:tc>
        <w:tc>
          <w:tcPr>
            <w:tcW w:w="1301" w:type="dxa"/>
            <w:shd w:val="clear" w:color="auto" w:fill="00709E"/>
            <w:vAlign w:val="center"/>
          </w:tcPr>
          <w:p w14:paraId="5DD4CE3F"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w:t>
            </w:r>
          </w:p>
        </w:tc>
        <w:tc>
          <w:tcPr>
            <w:tcW w:w="1590" w:type="dxa"/>
            <w:shd w:val="clear" w:color="auto" w:fill="00709E"/>
            <w:vAlign w:val="center"/>
          </w:tcPr>
          <w:p w14:paraId="47F94165"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Other new domestic company</w:t>
            </w:r>
          </w:p>
        </w:tc>
        <w:tc>
          <w:tcPr>
            <w:tcW w:w="1375" w:type="dxa"/>
            <w:shd w:val="clear" w:color="auto" w:fill="00709E"/>
            <w:vAlign w:val="center"/>
          </w:tcPr>
          <w:p w14:paraId="404E98DB"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Other new foreign  company</w:t>
            </w:r>
          </w:p>
        </w:tc>
        <w:tc>
          <w:tcPr>
            <w:tcW w:w="1180" w:type="dxa"/>
            <w:shd w:val="clear" w:color="auto" w:fill="00709E"/>
            <w:vAlign w:val="center"/>
          </w:tcPr>
          <w:p w14:paraId="224AE93F"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w:t>
            </w:r>
          </w:p>
        </w:tc>
      </w:tr>
      <w:tr w:rsidR="0068727F" w:rsidRPr="00490F9F" w14:paraId="588E3A90" w14:textId="77777777" w:rsidTr="00341B8D">
        <w:trPr>
          <w:trHeight w:val="20"/>
        </w:trPr>
        <w:tc>
          <w:tcPr>
            <w:tcW w:w="1592" w:type="dxa"/>
            <w:shd w:val="clear" w:color="auto" w:fill="00709E"/>
            <w:vAlign w:val="center"/>
          </w:tcPr>
          <w:p w14:paraId="4D11A96E"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Domestic company A</w:t>
            </w:r>
          </w:p>
        </w:tc>
        <w:tc>
          <w:tcPr>
            <w:tcW w:w="1300" w:type="dxa"/>
            <w:vAlign w:val="center"/>
          </w:tcPr>
          <w:p w14:paraId="399DCC69"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301" w:type="dxa"/>
            <w:vAlign w:val="center"/>
          </w:tcPr>
          <w:p w14:paraId="75B79DC0"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202BC524"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b/>
                <w:sz w:val="16"/>
                <w:szCs w:val="16"/>
              </w:rPr>
              <w:t>1</w:t>
            </w:r>
          </w:p>
        </w:tc>
        <w:tc>
          <w:tcPr>
            <w:tcW w:w="1590" w:type="dxa"/>
            <w:vAlign w:val="center"/>
          </w:tcPr>
          <w:p w14:paraId="4A36A941"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375" w:type="dxa"/>
            <w:vAlign w:val="center"/>
          </w:tcPr>
          <w:p w14:paraId="2E07FEC7" w14:textId="77777777" w:rsidR="0068727F" w:rsidRPr="00490F9F" w:rsidRDefault="0068727F" w:rsidP="00E91CD3">
            <w:pPr>
              <w:spacing w:after="0" w:line="240" w:lineRule="auto"/>
              <w:jc w:val="center"/>
              <w:rPr>
                <w:rFonts w:ascii="Arial" w:hAnsi="Arial" w:cs="Arial"/>
                <w:sz w:val="16"/>
                <w:szCs w:val="16"/>
              </w:rPr>
            </w:pPr>
          </w:p>
        </w:tc>
        <w:tc>
          <w:tcPr>
            <w:tcW w:w="1180" w:type="dxa"/>
            <w:vAlign w:val="center"/>
          </w:tcPr>
          <w:p w14:paraId="03C5DBCF"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w:t>
            </w:r>
          </w:p>
        </w:tc>
      </w:tr>
      <w:tr w:rsidR="0068727F" w:rsidRPr="00490F9F" w14:paraId="62A97958" w14:textId="77777777" w:rsidTr="00341B8D">
        <w:trPr>
          <w:trHeight w:val="20"/>
        </w:trPr>
        <w:tc>
          <w:tcPr>
            <w:tcW w:w="1592" w:type="dxa"/>
            <w:shd w:val="clear" w:color="auto" w:fill="00709E"/>
            <w:vAlign w:val="center"/>
          </w:tcPr>
          <w:p w14:paraId="63698026"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Domestic company B</w:t>
            </w:r>
          </w:p>
        </w:tc>
        <w:tc>
          <w:tcPr>
            <w:tcW w:w="1300" w:type="dxa"/>
            <w:vAlign w:val="center"/>
          </w:tcPr>
          <w:p w14:paraId="616629D7"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301" w:type="dxa"/>
            <w:vAlign w:val="center"/>
          </w:tcPr>
          <w:p w14:paraId="275FF67F"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2780345D"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1590" w:type="dxa"/>
            <w:vAlign w:val="center"/>
          </w:tcPr>
          <w:p w14:paraId="7C659F89"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4</w:t>
            </w:r>
          </w:p>
        </w:tc>
        <w:tc>
          <w:tcPr>
            <w:tcW w:w="1375" w:type="dxa"/>
            <w:vAlign w:val="center"/>
          </w:tcPr>
          <w:p w14:paraId="61A63D1C" w14:textId="77777777" w:rsidR="0068727F" w:rsidRPr="00490F9F" w:rsidRDefault="0068727F" w:rsidP="00E91CD3">
            <w:pPr>
              <w:spacing w:after="0" w:line="240" w:lineRule="auto"/>
              <w:jc w:val="center"/>
              <w:rPr>
                <w:rFonts w:ascii="Arial" w:hAnsi="Arial" w:cs="Arial"/>
                <w:sz w:val="16"/>
                <w:szCs w:val="16"/>
              </w:rPr>
            </w:pPr>
          </w:p>
        </w:tc>
        <w:tc>
          <w:tcPr>
            <w:tcW w:w="1180" w:type="dxa"/>
            <w:vAlign w:val="center"/>
          </w:tcPr>
          <w:p w14:paraId="41833C34"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4</w:t>
            </w:r>
          </w:p>
        </w:tc>
      </w:tr>
      <w:tr w:rsidR="0068727F" w:rsidRPr="00490F9F" w14:paraId="3976ACC8" w14:textId="77777777" w:rsidTr="00341B8D">
        <w:trPr>
          <w:trHeight w:val="20"/>
        </w:trPr>
        <w:tc>
          <w:tcPr>
            <w:tcW w:w="1592" w:type="dxa"/>
            <w:shd w:val="clear" w:color="auto" w:fill="00709E"/>
            <w:vAlign w:val="center"/>
          </w:tcPr>
          <w:p w14:paraId="1AA118BC"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Foreign company A</w:t>
            </w:r>
          </w:p>
        </w:tc>
        <w:tc>
          <w:tcPr>
            <w:tcW w:w="1300" w:type="dxa"/>
            <w:vAlign w:val="center"/>
          </w:tcPr>
          <w:p w14:paraId="313EB020"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4CF78E92"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301" w:type="dxa"/>
            <w:vAlign w:val="center"/>
          </w:tcPr>
          <w:p w14:paraId="502553CD"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10</w:t>
            </w:r>
          </w:p>
        </w:tc>
        <w:tc>
          <w:tcPr>
            <w:tcW w:w="1590" w:type="dxa"/>
            <w:vAlign w:val="center"/>
          </w:tcPr>
          <w:p w14:paraId="430CB45E" w14:textId="77777777" w:rsidR="0068727F" w:rsidRPr="00490F9F" w:rsidRDefault="0068727F" w:rsidP="00E91CD3">
            <w:pPr>
              <w:spacing w:after="0" w:line="240" w:lineRule="auto"/>
              <w:jc w:val="center"/>
              <w:rPr>
                <w:rFonts w:ascii="Arial" w:hAnsi="Arial" w:cs="Arial"/>
                <w:sz w:val="16"/>
                <w:szCs w:val="16"/>
              </w:rPr>
            </w:pPr>
          </w:p>
        </w:tc>
        <w:tc>
          <w:tcPr>
            <w:tcW w:w="1375" w:type="dxa"/>
            <w:vAlign w:val="center"/>
          </w:tcPr>
          <w:p w14:paraId="59704C45"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180" w:type="dxa"/>
            <w:vAlign w:val="center"/>
          </w:tcPr>
          <w:p w14:paraId="442ACFE7"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2</w:t>
            </w:r>
          </w:p>
        </w:tc>
      </w:tr>
      <w:tr w:rsidR="0068727F" w:rsidRPr="00490F9F" w14:paraId="1EFE150D" w14:textId="77777777" w:rsidTr="00341B8D">
        <w:trPr>
          <w:trHeight w:val="20"/>
        </w:trPr>
        <w:tc>
          <w:tcPr>
            <w:tcW w:w="1592" w:type="dxa"/>
            <w:shd w:val="clear" w:color="auto" w:fill="00709E"/>
            <w:vAlign w:val="center"/>
          </w:tcPr>
          <w:p w14:paraId="18CF42A9"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Foreign company B</w:t>
            </w:r>
          </w:p>
        </w:tc>
        <w:tc>
          <w:tcPr>
            <w:tcW w:w="1300" w:type="dxa"/>
            <w:vAlign w:val="center"/>
          </w:tcPr>
          <w:p w14:paraId="623D043E"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59D896DD"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301" w:type="dxa"/>
            <w:vAlign w:val="center"/>
          </w:tcPr>
          <w:p w14:paraId="65207C0B"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1590" w:type="dxa"/>
            <w:vAlign w:val="center"/>
          </w:tcPr>
          <w:p w14:paraId="2A439115" w14:textId="77777777" w:rsidR="0068727F" w:rsidRPr="00490F9F" w:rsidRDefault="0068727F" w:rsidP="00E91CD3">
            <w:pPr>
              <w:spacing w:after="0" w:line="240" w:lineRule="auto"/>
              <w:jc w:val="center"/>
              <w:rPr>
                <w:rFonts w:ascii="Arial" w:hAnsi="Arial" w:cs="Arial"/>
                <w:sz w:val="16"/>
                <w:szCs w:val="16"/>
              </w:rPr>
            </w:pPr>
          </w:p>
        </w:tc>
        <w:tc>
          <w:tcPr>
            <w:tcW w:w="1375" w:type="dxa"/>
            <w:vAlign w:val="center"/>
          </w:tcPr>
          <w:p w14:paraId="7D21995C"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6</w:t>
            </w:r>
          </w:p>
        </w:tc>
        <w:tc>
          <w:tcPr>
            <w:tcW w:w="1180" w:type="dxa"/>
            <w:vAlign w:val="center"/>
          </w:tcPr>
          <w:p w14:paraId="0D054A3F"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6</w:t>
            </w:r>
          </w:p>
        </w:tc>
      </w:tr>
      <w:tr w:rsidR="0068727F" w:rsidRPr="00490F9F" w14:paraId="61A30D28" w14:textId="77777777" w:rsidTr="00341B8D">
        <w:trPr>
          <w:trHeight w:val="20"/>
        </w:trPr>
        <w:tc>
          <w:tcPr>
            <w:tcW w:w="1592" w:type="dxa"/>
            <w:shd w:val="clear" w:color="auto" w:fill="00709E"/>
            <w:vAlign w:val="center"/>
          </w:tcPr>
          <w:p w14:paraId="147A561D"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w:t>
            </w:r>
          </w:p>
        </w:tc>
        <w:tc>
          <w:tcPr>
            <w:tcW w:w="1300" w:type="dxa"/>
            <w:vAlign w:val="center"/>
          </w:tcPr>
          <w:p w14:paraId="34464777"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3</w:t>
            </w:r>
          </w:p>
        </w:tc>
        <w:tc>
          <w:tcPr>
            <w:tcW w:w="1301" w:type="dxa"/>
            <w:vAlign w:val="center"/>
          </w:tcPr>
          <w:p w14:paraId="07306B2A"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12</w:t>
            </w:r>
          </w:p>
        </w:tc>
        <w:tc>
          <w:tcPr>
            <w:tcW w:w="1301" w:type="dxa"/>
            <w:vAlign w:val="center"/>
          </w:tcPr>
          <w:p w14:paraId="678BCFF2"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15</w:t>
            </w:r>
          </w:p>
        </w:tc>
        <w:tc>
          <w:tcPr>
            <w:tcW w:w="1590" w:type="dxa"/>
            <w:vAlign w:val="center"/>
          </w:tcPr>
          <w:p w14:paraId="79B55EC3"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5</w:t>
            </w:r>
          </w:p>
        </w:tc>
        <w:tc>
          <w:tcPr>
            <w:tcW w:w="1375" w:type="dxa"/>
            <w:vAlign w:val="center"/>
          </w:tcPr>
          <w:p w14:paraId="3E01559A"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8</w:t>
            </w:r>
          </w:p>
        </w:tc>
        <w:tc>
          <w:tcPr>
            <w:tcW w:w="1180" w:type="dxa"/>
            <w:vAlign w:val="center"/>
          </w:tcPr>
          <w:p w14:paraId="543DCB09"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13</w:t>
            </w:r>
          </w:p>
        </w:tc>
      </w:tr>
    </w:tbl>
    <w:p w14:paraId="04B3E901" w14:textId="77777777" w:rsidR="002E2706" w:rsidRDefault="002E2706" w:rsidP="00E91CD3">
      <w:pPr>
        <w:spacing w:after="0" w:line="240" w:lineRule="auto"/>
        <w:rPr>
          <w:rFonts w:ascii="Arial" w:eastAsia="Times New Roman" w:hAnsi="Arial" w:cs="Arial"/>
          <w:b/>
          <w:snapToGrid w:val="0"/>
          <w:spacing w:val="-3"/>
          <w:szCs w:val="20"/>
          <w:lang w:eastAsia="fr-FR"/>
        </w:rPr>
      </w:pPr>
    </w:p>
    <w:p w14:paraId="1F32A4B9" w14:textId="6469A802" w:rsid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(Domestic</w:t>
      </w:r>
      <w:r w:rsidR="005B3C1C">
        <w:rPr>
          <w:rFonts w:ascii="Arial" w:eastAsia="Times New Roman" w:hAnsi="Arial" w:cs="Arial"/>
          <w:b/>
          <w:snapToGrid w:val="0"/>
          <w:spacing w:val="-3"/>
          <w:szCs w:val="20"/>
          <w:lang w:eastAsia="fr-FR"/>
        </w:rPr>
        <w:t xml:space="preserve"> public sector</w:t>
      </w:r>
      <w:r w:rsidR="00264624" w:rsidRPr="00264624">
        <w:rPr>
          <w:rFonts w:ascii="Arial" w:eastAsia="Times New Roman" w:hAnsi="Arial" w:cs="Arial"/>
          <w:b/>
          <w:snapToGrid w:val="0"/>
          <w:spacing w:val="-3"/>
          <w:szCs w:val="20"/>
          <w:lang w:eastAsia="fr-FR"/>
        </w:rPr>
        <w:t>)</w:t>
      </w:r>
    </w:p>
    <w:p w14:paraId="720BF66C" w14:textId="4598168D" w:rsidR="005B3C1C" w:rsidRPr="00264624" w:rsidRDefault="005B3C1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64624">
        <w:rPr>
          <w:rFonts w:ascii="Arial" w:eastAsia="Times New Roman" w:hAnsi="Arial" w:cs="Arial"/>
          <w:b/>
          <w:snapToGrid w:val="0"/>
          <w:spacing w:val="-3"/>
          <w:szCs w:val="20"/>
          <w:lang w:eastAsia="fr-FR"/>
        </w:rPr>
        <w:t>Number of new listings (Domestic</w:t>
      </w:r>
      <w:r>
        <w:rPr>
          <w:rFonts w:ascii="Arial" w:eastAsia="Times New Roman" w:hAnsi="Arial" w:cs="Arial"/>
          <w:b/>
          <w:snapToGrid w:val="0"/>
          <w:spacing w:val="-3"/>
          <w:szCs w:val="20"/>
          <w:lang w:eastAsia="fr-FR"/>
        </w:rPr>
        <w:t xml:space="preserve"> private sector)</w:t>
      </w:r>
    </w:p>
    <w:p w14:paraId="305C739E" w14:textId="77777777" w:rsidR="009524DF"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total (Foreign)</w:t>
      </w:r>
    </w:p>
    <w:p w14:paraId="4C3AAA7E" w14:textId="79586224" w:rsidR="009524DF" w:rsidRDefault="009524DF"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64624">
        <w:rPr>
          <w:rFonts w:ascii="Arial" w:eastAsia="Times New Roman" w:hAnsi="Arial" w:cs="Arial"/>
          <w:b/>
          <w:snapToGrid w:val="0"/>
          <w:spacing w:val="-3"/>
          <w:szCs w:val="20"/>
          <w:lang w:eastAsia="fr-FR"/>
        </w:rPr>
        <w:t>Number of new listings (</w:t>
      </w:r>
      <w:r w:rsidR="00252B5C">
        <w:rPr>
          <w:rFonts w:ascii="Arial" w:eastAsia="Times New Roman" w:hAnsi="Arial" w:cs="Arial"/>
          <w:b/>
          <w:snapToGrid w:val="0"/>
          <w:spacing w:val="-3"/>
          <w:szCs w:val="20"/>
          <w:lang w:eastAsia="fr-FR"/>
        </w:rPr>
        <w:t>Total</w:t>
      </w:r>
      <w:r w:rsidRPr="00264624">
        <w:rPr>
          <w:rFonts w:ascii="Arial" w:eastAsia="Times New Roman" w:hAnsi="Arial" w:cs="Arial"/>
          <w:b/>
          <w:snapToGrid w:val="0"/>
          <w:spacing w:val="-3"/>
          <w:szCs w:val="20"/>
          <w:lang w:eastAsia="fr-FR"/>
        </w:rPr>
        <w:t>)</w:t>
      </w:r>
    </w:p>
    <w:p w14:paraId="4EB9EFB2" w14:textId="77777777" w:rsidR="00FA2FEF" w:rsidRPr="00264624" w:rsidRDefault="00FA2FEF" w:rsidP="00E91CD3">
      <w:pPr>
        <w:spacing w:after="0" w:line="240" w:lineRule="auto"/>
        <w:rPr>
          <w:rFonts w:ascii="Arial" w:eastAsia="Times New Roman" w:hAnsi="Arial" w:cs="Arial"/>
          <w:b/>
          <w:snapToGrid w:val="0"/>
          <w:spacing w:val="-3"/>
          <w:szCs w:val="20"/>
          <w:lang w:eastAsia="fr-FR"/>
        </w:rPr>
      </w:pPr>
    </w:p>
    <w:p w14:paraId="5F7F789E" w14:textId="0E0DF8A0" w:rsidR="00EE0D03"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companies, split </w:t>
      </w:r>
      <w:r w:rsidRPr="00CF79EE">
        <w:rPr>
          <w:rFonts w:ascii="Arial" w:hAnsi="Arial" w:cs="Arial"/>
          <w:spacing w:val="-3"/>
          <w:sz w:val="20"/>
        </w:rPr>
        <w:t>between</w:t>
      </w:r>
      <w:r w:rsidRPr="00CF79EE">
        <w:rPr>
          <w:rFonts w:eastAsia="Times New Roman"/>
          <w:snapToGrid w:val="0"/>
          <w:color w:val="002060"/>
          <w:szCs w:val="20"/>
          <w:lang w:eastAsia="fr-FR"/>
        </w:rPr>
        <w:t xml:space="preserve"> </w:t>
      </w:r>
      <w:r w:rsidR="00CF79EE" w:rsidRPr="00A55E94">
        <w:rPr>
          <w:rFonts w:ascii="Arial" w:eastAsia="Times New Roman" w:hAnsi="Arial" w:cs="Arial"/>
          <w:snapToGrid w:val="0"/>
          <w:color w:val="002060"/>
          <w:sz w:val="20"/>
          <w:szCs w:val="20"/>
          <w:u w:val="single"/>
          <w:lang w:eastAsia="fr-FR"/>
        </w:rPr>
        <w:fldChar w:fldCharType="begin"/>
      </w:r>
      <w:r w:rsidR="00CF79EE" w:rsidRPr="00A55E94">
        <w:rPr>
          <w:rFonts w:ascii="Arial" w:eastAsia="Times New Roman" w:hAnsi="Arial" w:cs="Arial"/>
          <w:snapToGrid w:val="0"/>
          <w:color w:val="002060"/>
          <w:sz w:val="20"/>
          <w:szCs w:val="20"/>
          <w:u w:val="single"/>
          <w:lang w:eastAsia="fr-FR"/>
        </w:rPr>
        <w:instrText xml:space="preserve"> REF _Ref13563231 \h  \* MERGEFORMAT </w:instrText>
      </w:r>
      <w:r w:rsidR="00CF79EE" w:rsidRPr="00A55E94">
        <w:rPr>
          <w:rFonts w:ascii="Arial" w:eastAsia="Times New Roman" w:hAnsi="Arial" w:cs="Arial"/>
          <w:snapToGrid w:val="0"/>
          <w:color w:val="002060"/>
          <w:sz w:val="20"/>
          <w:szCs w:val="20"/>
          <w:u w:val="single"/>
          <w:lang w:eastAsia="fr-FR"/>
        </w:rPr>
      </w:r>
      <w:r w:rsidR="00CF79EE"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w:t>
      </w:r>
      <w:r w:rsidRPr="00A55E94">
        <w:rPr>
          <w:rFonts w:ascii="Arial" w:eastAsia="Times New Roman" w:hAnsi="Arial" w:cs="Arial"/>
          <w:snapToGrid w:val="0"/>
          <w:color w:val="002060"/>
          <w:sz w:val="20"/>
          <w:szCs w:val="20"/>
          <w:lang w:eastAsia="fr-FR"/>
        </w:rPr>
        <w:t xml:space="preserve">and </w:t>
      </w:r>
      <w:r w:rsidR="00CF79EE" w:rsidRPr="00A55E94">
        <w:rPr>
          <w:rFonts w:ascii="Arial" w:eastAsia="Times New Roman" w:hAnsi="Arial" w:cs="Arial"/>
          <w:snapToGrid w:val="0"/>
          <w:color w:val="002060"/>
          <w:sz w:val="20"/>
          <w:szCs w:val="20"/>
          <w:u w:val="single"/>
          <w:lang w:eastAsia="fr-FR"/>
        </w:rPr>
        <w:fldChar w:fldCharType="begin"/>
      </w:r>
      <w:r w:rsidR="00CF79EE" w:rsidRPr="00A55E94">
        <w:rPr>
          <w:rFonts w:ascii="Arial" w:eastAsia="Times New Roman" w:hAnsi="Arial" w:cs="Arial"/>
          <w:snapToGrid w:val="0"/>
          <w:color w:val="002060"/>
          <w:sz w:val="20"/>
          <w:szCs w:val="20"/>
          <w:u w:val="single"/>
          <w:lang w:eastAsia="fr-FR"/>
        </w:rPr>
        <w:instrText xml:space="preserve"> REF _Ref13563374 \h  \* MERGEFORMAT </w:instrText>
      </w:r>
      <w:r w:rsidR="00CF79EE" w:rsidRPr="00A55E94">
        <w:rPr>
          <w:rFonts w:ascii="Arial" w:eastAsia="Times New Roman" w:hAnsi="Arial" w:cs="Arial"/>
          <w:snapToGrid w:val="0"/>
          <w:color w:val="002060"/>
          <w:sz w:val="20"/>
          <w:szCs w:val="20"/>
          <w:u w:val="single"/>
          <w:lang w:eastAsia="fr-FR"/>
        </w:rPr>
      </w:r>
      <w:r w:rsidR="00CF79EE"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whose shares were admitted to listing during the period whether through an </w:t>
      </w:r>
      <w:r w:rsidR="00BD1ECB" w:rsidRPr="00A55E94">
        <w:rPr>
          <w:rFonts w:ascii="Arial" w:eastAsia="Times New Roman" w:hAnsi="Arial" w:cs="Arial"/>
          <w:snapToGrid w:val="0"/>
          <w:color w:val="002060"/>
          <w:sz w:val="20"/>
          <w:szCs w:val="20"/>
          <w:u w:val="single"/>
          <w:lang w:eastAsia="fr-FR"/>
        </w:rPr>
        <w:fldChar w:fldCharType="begin"/>
      </w:r>
      <w:r w:rsidR="00BD1ECB" w:rsidRPr="00A55E94">
        <w:rPr>
          <w:rFonts w:ascii="Arial" w:eastAsia="Times New Roman" w:hAnsi="Arial" w:cs="Arial"/>
          <w:snapToGrid w:val="0"/>
          <w:color w:val="002060"/>
          <w:sz w:val="20"/>
          <w:szCs w:val="20"/>
          <w:u w:val="single"/>
          <w:lang w:eastAsia="fr-FR"/>
        </w:rPr>
        <w:instrText xml:space="preserve"> REF _Ref13549272 \h  \* MERGEFORMAT </w:instrText>
      </w:r>
      <w:r w:rsidR="00BD1ECB" w:rsidRPr="00A55E94">
        <w:rPr>
          <w:rFonts w:ascii="Arial" w:eastAsia="Times New Roman" w:hAnsi="Arial" w:cs="Arial"/>
          <w:snapToGrid w:val="0"/>
          <w:color w:val="002060"/>
          <w:sz w:val="20"/>
          <w:szCs w:val="20"/>
          <w:u w:val="single"/>
          <w:lang w:eastAsia="fr-FR"/>
        </w:rPr>
      </w:r>
      <w:r w:rsidR="00BD1ECB"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Initial Public Offering</w:t>
      </w:r>
      <w:r w:rsidR="00BD1ECB"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or other process (e.g. splits, mergers, or having already floated shares). A company with several classes of s</w:t>
      </w:r>
      <w:r w:rsidRPr="00490F9F">
        <w:rPr>
          <w:rFonts w:ascii="Arial" w:hAnsi="Arial" w:cs="Arial"/>
          <w:spacing w:val="-3"/>
          <w:sz w:val="20"/>
        </w:rPr>
        <w:t>hares is just counted once.</w:t>
      </w:r>
    </w:p>
    <w:p w14:paraId="704A9C3A" w14:textId="77777777" w:rsidR="00FA2FEF" w:rsidRDefault="00FA2FEF" w:rsidP="00E91CD3">
      <w:pPr>
        <w:suppressAutoHyphens/>
        <w:spacing w:after="0" w:line="240" w:lineRule="auto"/>
        <w:jc w:val="both"/>
        <w:rPr>
          <w:rFonts w:ascii="Arial" w:hAnsi="Arial" w:cs="Arial"/>
          <w:spacing w:val="-3"/>
          <w:sz w:val="20"/>
        </w:rPr>
      </w:pPr>
    </w:p>
    <w:p w14:paraId="19C0B79F" w14:textId="083284F4" w:rsidR="00FA2FEF" w:rsidRDefault="00EE0D0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Number of new listings (Total) is calculated by summing the </w:t>
      </w:r>
      <w:r w:rsidRPr="00EE0D03">
        <w:rPr>
          <w:rFonts w:ascii="Arial" w:hAnsi="Arial" w:cs="Arial"/>
          <w:spacing w:val="-3"/>
          <w:sz w:val="20"/>
        </w:rPr>
        <w:t>Number of new listings total (Domestic)</w:t>
      </w:r>
      <w:r>
        <w:rPr>
          <w:rFonts w:ascii="Arial" w:hAnsi="Arial" w:cs="Arial"/>
          <w:spacing w:val="-3"/>
          <w:sz w:val="20"/>
        </w:rPr>
        <w:t xml:space="preserve"> and the </w:t>
      </w:r>
      <w:r w:rsidRPr="00EE0D03">
        <w:rPr>
          <w:rFonts w:ascii="Arial" w:hAnsi="Arial" w:cs="Arial"/>
          <w:spacing w:val="-3"/>
          <w:sz w:val="20"/>
        </w:rPr>
        <w:t>Number of new listings total (</w:t>
      </w:r>
      <w:r w:rsidR="00705CC4">
        <w:rPr>
          <w:rFonts w:ascii="Arial" w:hAnsi="Arial" w:cs="Arial"/>
          <w:spacing w:val="-3"/>
          <w:sz w:val="20"/>
        </w:rPr>
        <w:t>Foreign</w:t>
      </w:r>
      <w:r w:rsidRPr="00EE0D03">
        <w:rPr>
          <w:rFonts w:ascii="Arial" w:hAnsi="Arial" w:cs="Arial"/>
          <w:spacing w:val="-3"/>
          <w:sz w:val="20"/>
        </w:rPr>
        <w:t>)</w:t>
      </w:r>
      <w:r>
        <w:rPr>
          <w:rFonts w:ascii="Arial" w:hAnsi="Arial" w:cs="Arial"/>
          <w:spacing w:val="-3"/>
          <w:sz w:val="20"/>
        </w:rPr>
        <w:t>.</w:t>
      </w:r>
    </w:p>
    <w:p w14:paraId="062983D9" w14:textId="40B924AC" w:rsidR="004A2EA9" w:rsidRPr="00490F9F"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Only companies admitted to listing are included in the data.</w:t>
      </w:r>
    </w:p>
    <w:p w14:paraId="39060A1D" w14:textId="77777777" w:rsidR="00FA2FEF" w:rsidRDefault="00FA2FEF" w:rsidP="00E91CD3">
      <w:pPr>
        <w:spacing w:after="0" w:line="240" w:lineRule="auto"/>
        <w:rPr>
          <w:rFonts w:ascii="Arial" w:eastAsia="Times New Roman" w:hAnsi="Arial" w:cs="Arial"/>
          <w:b/>
          <w:snapToGrid w:val="0"/>
          <w:spacing w:val="-3"/>
          <w:szCs w:val="20"/>
          <w:lang w:eastAsia="fr-FR"/>
        </w:rPr>
      </w:pPr>
    </w:p>
    <w:p w14:paraId="405125E2" w14:textId="5A278429" w:rsidR="000E62B1" w:rsidRPr="00264624" w:rsidRDefault="00705CC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E62B1" w:rsidRPr="00264624">
        <w:rPr>
          <w:rFonts w:ascii="Arial" w:eastAsia="Times New Roman" w:hAnsi="Arial" w:cs="Arial"/>
          <w:b/>
          <w:snapToGrid w:val="0"/>
          <w:spacing w:val="-3"/>
          <w:szCs w:val="20"/>
          <w:lang w:eastAsia="fr-FR"/>
        </w:rPr>
        <w:t xml:space="preserve">Number of </w:t>
      </w:r>
      <w:proofErr w:type="spellStart"/>
      <w:r w:rsidR="000E62B1">
        <w:rPr>
          <w:rFonts w:ascii="Arial" w:eastAsia="Times New Roman" w:hAnsi="Arial" w:cs="Arial"/>
          <w:b/>
          <w:snapToGrid w:val="0"/>
          <w:spacing w:val="-3"/>
          <w:szCs w:val="20"/>
          <w:lang w:eastAsia="fr-FR"/>
        </w:rPr>
        <w:t>delistings</w:t>
      </w:r>
      <w:proofErr w:type="spellEnd"/>
      <w:r w:rsidR="000E62B1" w:rsidRPr="00264624">
        <w:rPr>
          <w:rFonts w:ascii="Arial" w:eastAsia="Times New Roman" w:hAnsi="Arial" w:cs="Arial"/>
          <w:b/>
          <w:snapToGrid w:val="0"/>
          <w:spacing w:val="-3"/>
          <w:szCs w:val="20"/>
          <w:lang w:eastAsia="fr-FR"/>
        </w:rPr>
        <w:t xml:space="preserve"> (Domestic)</w:t>
      </w:r>
    </w:p>
    <w:p w14:paraId="5F672E3B" w14:textId="46699A93" w:rsidR="00156482" w:rsidRDefault="00705CC4" w:rsidP="00E91CD3">
      <w:pPr>
        <w:suppressAutoHyphens/>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E62B1" w:rsidRPr="00264624">
        <w:rPr>
          <w:rFonts w:ascii="Arial" w:eastAsia="Times New Roman" w:hAnsi="Arial" w:cs="Arial"/>
          <w:b/>
          <w:snapToGrid w:val="0"/>
          <w:spacing w:val="-3"/>
          <w:szCs w:val="20"/>
          <w:lang w:eastAsia="fr-FR"/>
        </w:rPr>
        <w:t xml:space="preserve">Number </w:t>
      </w:r>
      <w:proofErr w:type="spellStart"/>
      <w:r w:rsidR="000E62B1">
        <w:rPr>
          <w:rFonts w:ascii="Arial" w:eastAsia="Times New Roman" w:hAnsi="Arial" w:cs="Arial"/>
          <w:b/>
          <w:snapToGrid w:val="0"/>
          <w:spacing w:val="-3"/>
          <w:szCs w:val="20"/>
          <w:lang w:eastAsia="fr-FR"/>
        </w:rPr>
        <w:t>delistings</w:t>
      </w:r>
      <w:proofErr w:type="spellEnd"/>
      <w:r w:rsidR="000E62B1" w:rsidRPr="00264624">
        <w:rPr>
          <w:rFonts w:ascii="Arial" w:eastAsia="Times New Roman" w:hAnsi="Arial" w:cs="Arial"/>
          <w:b/>
          <w:snapToGrid w:val="0"/>
          <w:spacing w:val="-3"/>
          <w:szCs w:val="20"/>
          <w:lang w:eastAsia="fr-FR"/>
        </w:rPr>
        <w:t xml:space="preserve"> (Foreign)</w:t>
      </w:r>
    </w:p>
    <w:p w14:paraId="5C5BCD2C" w14:textId="47FF6B6C" w:rsidR="00705CC4" w:rsidRPr="00490F9F" w:rsidRDefault="00705CC4" w:rsidP="00E91CD3">
      <w:pPr>
        <w:suppressAutoHyphens/>
        <w:spacing w:after="0" w:line="240" w:lineRule="auto"/>
        <w:jc w:val="both"/>
        <w:rPr>
          <w:rFonts w:ascii="Arial" w:hAnsi="Arial" w:cs="Arial"/>
          <w:spacing w:val="-3"/>
          <w:sz w:val="20"/>
        </w:rPr>
      </w:pPr>
      <w:r>
        <w:rPr>
          <w:rFonts w:ascii="Arial" w:eastAsia="Times New Roman" w:hAnsi="Arial" w:cs="Arial"/>
          <w:b/>
          <w:snapToGrid w:val="0"/>
          <w:spacing w:val="-3"/>
          <w:szCs w:val="20"/>
          <w:lang w:eastAsia="fr-FR"/>
        </w:rPr>
        <w:t xml:space="preserve">Indicator: </w:t>
      </w:r>
      <w:r w:rsidRPr="00264624">
        <w:rPr>
          <w:rFonts w:ascii="Arial" w:eastAsia="Times New Roman" w:hAnsi="Arial" w:cs="Arial"/>
          <w:b/>
          <w:snapToGrid w:val="0"/>
          <w:spacing w:val="-3"/>
          <w:szCs w:val="20"/>
          <w:lang w:eastAsia="fr-FR"/>
        </w:rPr>
        <w:t xml:space="preserve">Number </w:t>
      </w:r>
      <w:proofErr w:type="spellStart"/>
      <w:r>
        <w:rPr>
          <w:rFonts w:ascii="Arial" w:eastAsia="Times New Roman" w:hAnsi="Arial" w:cs="Arial"/>
          <w:b/>
          <w:snapToGrid w:val="0"/>
          <w:spacing w:val="-3"/>
          <w:szCs w:val="20"/>
          <w:lang w:eastAsia="fr-FR"/>
        </w:rPr>
        <w:t>delistings</w:t>
      </w:r>
      <w:proofErr w:type="spellEnd"/>
      <w:r w:rsidRPr="00264624">
        <w:rPr>
          <w:rFonts w:ascii="Arial" w:eastAsia="Times New Roman" w:hAnsi="Arial" w:cs="Arial"/>
          <w:b/>
          <w:snapToGrid w:val="0"/>
          <w:spacing w:val="-3"/>
          <w:szCs w:val="20"/>
          <w:lang w:eastAsia="fr-FR"/>
        </w:rPr>
        <w:t xml:space="preserve"> (</w:t>
      </w:r>
      <w:r>
        <w:rPr>
          <w:rFonts w:ascii="Arial" w:eastAsia="Times New Roman" w:hAnsi="Arial" w:cs="Arial"/>
          <w:b/>
          <w:snapToGrid w:val="0"/>
          <w:spacing w:val="-3"/>
          <w:szCs w:val="20"/>
          <w:lang w:eastAsia="fr-FR"/>
        </w:rPr>
        <w:t>Total</w:t>
      </w:r>
      <w:r w:rsidRPr="00264624">
        <w:rPr>
          <w:rFonts w:ascii="Arial" w:eastAsia="Times New Roman" w:hAnsi="Arial" w:cs="Arial"/>
          <w:b/>
          <w:snapToGrid w:val="0"/>
          <w:spacing w:val="-3"/>
          <w:szCs w:val="20"/>
          <w:lang w:eastAsia="fr-FR"/>
        </w:rPr>
        <w:t>)</w:t>
      </w:r>
    </w:p>
    <w:p w14:paraId="2BC9FC5F" w14:textId="77777777" w:rsidR="00FA2FEF" w:rsidRDefault="00FA2FEF" w:rsidP="00E91CD3">
      <w:pPr>
        <w:suppressAutoHyphens/>
        <w:spacing w:after="0" w:line="240" w:lineRule="auto"/>
        <w:jc w:val="both"/>
        <w:rPr>
          <w:rFonts w:ascii="Arial" w:hAnsi="Arial" w:cs="Arial"/>
          <w:spacing w:val="-3"/>
          <w:sz w:val="20"/>
        </w:rPr>
      </w:pPr>
    </w:p>
    <w:p w14:paraId="014C4881" w14:textId="060E39E3" w:rsidR="000E62B1" w:rsidRDefault="00E9460C" w:rsidP="00E91CD3">
      <w:pPr>
        <w:suppressAutoHyphens/>
        <w:spacing w:after="0" w:line="240" w:lineRule="auto"/>
        <w:jc w:val="both"/>
        <w:rPr>
          <w:rFonts w:ascii="Arial" w:hAnsi="Arial" w:cs="Arial"/>
          <w:spacing w:val="-3"/>
          <w:sz w:val="20"/>
        </w:rPr>
      </w:pPr>
      <w:r>
        <w:rPr>
          <w:rFonts w:ascii="Arial" w:hAnsi="Arial" w:cs="Arial"/>
          <w:spacing w:val="-3"/>
          <w:sz w:val="20"/>
        </w:rPr>
        <w:t>T</w:t>
      </w:r>
      <w:r w:rsidR="000E62B1" w:rsidRPr="00490F9F">
        <w:rPr>
          <w:rFonts w:ascii="Arial" w:hAnsi="Arial" w:cs="Arial"/>
          <w:spacing w:val="-3"/>
          <w:sz w:val="20"/>
        </w:rPr>
        <w:t>he number of companies</w:t>
      </w:r>
      <w:r w:rsidR="00705CC4">
        <w:rPr>
          <w:rFonts w:ascii="Arial" w:hAnsi="Arial" w:cs="Arial"/>
          <w:spacing w:val="-3"/>
          <w:sz w:val="20"/>
        </w:rPr>
        <w:t xml:space="preserve">, </w:t>
      </w:r>
      <w:r w:rsidR="00705CC4" w:rsidRPr="00490F9F">
        <w:rPr>
          <w:rFonts w:ascii="Arial" w:hAnsi="Arial" w:cs="Arial"/>
          <w:spacing w:val="-3"/>
          <w:sz w:val="20"/>
        </w:rPr>
        <w:t xml:space="preserve">split between </w:t>
      </w:r>
      <w:r w:rsidR="00CF79EE" w:rsidRPr="00BD1ECB">
        <w:rPr>
          <w:rFonts w:ascii="Arial" w:eastAsia="Times New Roman" w:hAnsi="Arial" w:cs="Arial"/>
          <w:snapToGrid w:val="0"/>
          <w:color w:val="002060"/>
          <w:sz w:val="20"/>
          <w:szCs w:val="20"/>
          <w:u w:val="single"/>
          <w:lang w:eastAsia="fr-FR"/>
        </w:rPr>
        <w:fldChar w:fldCharType="begin"/>
      </w:r>
      <w:r w:rsidR="00CF79EE" w:rsidRPr="00BD1ECB">
        <w:rPr>
          <w:rFonts w:ascii="Arial" w:eastAsia="Times New Roman" w:hAnsi="Arial" w:cs="Arial"/>
          <w:snapToGrid w:val="0"/>
          <w:color w:val="002060"/>
          <w:sz w:val="20"/>
          <w:szCs w:val="20"/>
          <w:u w:val="single"/>
          <w:lang w:eastAsia="fr-FR"/>
        </w:rPr>
        <w:instrText xml:space="preserve"> REF _Ref13563231 \h  \* MERGEFORMAT </w:instrText>
      </w:r>
      <w:r w:rsidR="00CF79EE" w:rsidRPr="00BD1ECB">
        <w:rPr>
          <w:rFonts w:ascii="Arial" w:eastAsia="Times New Roman" w:hAnsi="Arial" w:cs="Arial"/>
          <w:snapToGrid w:val="0"/>
          <w:color w:val="002060"/>
          <w:sz w:val="20"/>
          <w:szCs w:val="20"/>
          <w:u w:val="single"/>
          <w:lang w:eastAsia="fr-FR"/>
        </w:rPr>
      </w:r>
      <w:r w:rsidR="00CF79EE" w:rsidRPr="00BD1ECB">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BD1ECB">
        <w:rPr>
          <w:rFonts w:ascii="Arial" w:eastAsia="Times New Roman" w:hAnsi="Arial" w:cs="Arial"/>
          <w:snapToGrid w:val="0"/>
          <w:color w:val="002060"/>
          <w:sz w:val="20"/>
          <w:szCs w:val="20"/>
          <w:u w:val="single"/>
          <w:lang w:eastAsia="fr-FR"/>
        </w:rPr>
        <w:fldChar w:fldCharType="end"/>
      </w:r>
      <w:r w:rsidR="00705CC4" w:rsidRPr="00490F9F">
        <w:rPr>
          <w:rFonts w:ascii="Arial" w:hAnsi="Arial" w:cs="Arial"/>
          <w:spacing w:val="-3"/>
          <w:sz w:val="20"/>
        </w:rPr>
        <w:t xml:space="preserve"> 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00705CC4" w:rsidRPr="00CB68F5">
        <w:rPr>
          <w:rFonts w:ascii="Arial" w:hAnsi="Arial" w:cs="Arial"/>
          <w:color w:val="1F3864" w:themeColor="accent1" w:themeShade="80"/>
          <w:spacing w:val="-3"/>
          <w:sz w:val="20"/>
          <w:szCs w:val="20"/>
          <w:u w:val="single"/>
        </w:rPr>
        <w:fldChar w:fldCharType="begin"/>
      </w:r>
      <w:r w:rsidR="00705CC4" w:rsidRPr="00CB68F5">
        <w:rPr>
          <w:rFonts w:ascii="Arial" w:hAnsi="Arial" w:cs="Arial"/>
          <w:color w:val="1F3864" w:themeColor="accent1" w:themeShade="80"/>
          <w:spacing w:val="-3"/>
          <w:sz w:val="20"/>
          <w:szCs w:val="20"/>
          <w:u w:val="single"/>
        </w:rPr>
        <w:instrText xml:space="preserve"> REF _Ref7777184 \h  \* MERGEFORMAT </w:instrText>
      </w:r>
      <w:r w:rsidR="00705CC4" w:rsidRPr="00CB68F5">
        <w:rPr>
          <w:rFonts w:ascii="Arial" w:hAnsi="Arial" w:cs="Arial"/>
          <w:color w:val="1F3864" w:themeColor="accent1" w:themeShade="80"/>
          <w:spacing w:val="-3"/>
          <w:sz w:val="20"/>
          <w:szCs w:val="20"/>
          <w:u w:val="single"/>
        </w:rPr>
      </w:r>
      <w:r w:rsidR="00705CC4" w:rsidRPr="00CB68F5">
        <w:rPr>
          <w:rFonts w:ascii="Arial" w:hAnsi="Arial" w:cs="Arial"/>
          <w:color w:val="1F3864" w:themeColor="accent1" w:themeShade="80"/>
          <w:spacing w:val="-3"/>
          <w:sz w:val="20"/>
          <w:szCs w:val="20"/>
          <w:u w:val="single"/>
        </w:rPr>
        <w:fldChar w:fldCharType="separate"/>
      </w:r>
      <w:r w:rsidR="0094528E">
        <w:rPr>
          <w:rFonts w:ascii="Arial" w:hAnsi="Arial" w:cs="Arial"/>
          <w:b/>
          <w:bCs/>
          <w:color w:val="1F3864" w:themeColor="accent1" w:themeShade="80"/>
          <w:spacing w:val="-3"/>
          <w:sz w:val="20"/>
          <w:szCs w:val="20"/>
          <w:u w:val="single"/>
          <w:lang w:val="en-US"/>
        </w:rPr>
        <w:t xml:space="preserve">Error! Reference source not </w:t>
      </w:r>
      <w:proofErr w:type="gramStart"/>
      <w:r w:rsidR="0094528E">
        <w:rPr>
          <w:rFonts w:ascii="Arial" w:hAnsi="Arial" w:cs="Arial"/>
          <w:b/>
          <w:bCs/>
          <w:color w:val="1F3864" w:themeColor="accent1" w:themeShade="80"/>
          <w:spacing w:val="-3"/>
          <w:sz w:val="20"/>
          <w:szCs w:val="20"/>
          <w:u w:val="single"/>
          <w:lang w:val="en-US"/>
        </w:rPr>
        <w:t>found.</w:t>
      </w:r>
      <w:r w:rsidR="00705CC4" w:rsidRPr="00CB68F5">
        <w:rPr>
          <w:rFonts w:ascii="Arial" w:hAnsi="Arial" w:cs="Arial"/>
          <w:color w:val="1F3864" w:themeColor="accent1" w:themeShade="80"/>
          <w:spacing w:val="-3"/>
          <w:sz w:val="20"/>
          <w:szCs w:val="20"/>
          <w:u w:val="single"/>
        </w:rPr>
        <w:fldChar w:fldCharType="end"/>
      </w:r>
      <w:r w:rsidR="00705CC4" w:rsidRPr="00490F9F">
        <w:rPr>
          <w:rFonts w:ascii="Arial" w:hAnsi="Arial" w:cs="Arial"/>
          <w:spacing w:val="-3"/>
          <w:sz w:val="20"/>
        </w:rPr>
        <w:t>,</w:t>
      </w:r>
      <w:proofErr w:type="gramEnd"/>
      <w:r w:rsidR="00705CC4" w:rsidRPr="00490F9F">
        <w:rPr>
          <w:rFonts w:ascii="Arial" w:hAnsi="Arial" w:cs="Arial"/>
          <w:spacing w:val="-3"/>
          <w:sz w:val="20"/>
        </w:rPr>
        <w:t xml:space="preserve"> </w:t>
      </w:r>
      <w:r w:rsidR="000E62B1" w:rsidRPr="00490F9F">
        <w:rPr>
          <w:rFonts w:ascii="Arial" w:hAnsi="Arial" w:cs="Arial"/>
          <w:spacing w:val="-3"/>
          <w:sz w:val="20"/>
        </w:rPr>
        <w:t>removed from listing and trading</w:t>
      </w:r>
      <w:r w:rsidR="000E62B1">
        <w:rPr>
          <w:rFonts w:ascii="Arial" w:hAnsi="Arial" w:cs="Arial"/>
          <w:spacing w:val="-3"/>
          <w:sz w:val="20"/>
        </w:rPr>
        <w:t xml:space="preserve"> during the period in question.</w:t>
      </w:r>
    </w:p>
    <w:p w14:paraId="7C5F994E" w14:textId="77777777" w:rsidR="00FA2FEF" w:rsidRDefault="00FA2FEF" w:rsidP="00E91CD3">
      <w:pPr>
        <w:suppressAutoHyphens/>
        <w:spacing w:after="0" w:line="240" w:lineRule="auto"/>
        <w:jc w:val="both"/>
        <w:rPr>
          <w:rFonts w:ascii="Arial" w:hAnsi="Arial" w:cs="Arial"/>
          <w:spacing w:val="-3"/>
          <w:sz w:val="20"/>
        </w:rPr>
      </w:pPr>
    </w:p>
    <w:p w14:paraId="224189BE" w14:textId="7EE39888" w:rsidR="00705CC4" w:rsidRDefault="00705CC4"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Number of </w:t>
      </w:r>
      <w:proofErr w:type="spellStart"/>
      <w:r>
        <w:rPr>
          <w:rFonts w:ascii="Arial" w:hAnsi="Arial" w:cs="Arial"/>
          <w:spacing w:val="-3"/>
          <w:sz w:val="20"/>
        </w:rPr>
        <w:t>delistings</w:t>
      </w:r>
      <w:proofErr w:type="spellEnd"/>
      <w:r>
        <w:rPr>
          <w:rFonts w:ascii="Arial" w:hAnsi="Arial" w:cs="Arial"/>
          <w:spacing w:val="-3"/>
          <w:sz w:val="20"/>
        </w:rPr>
        <w:t xml:space="preserve"> (Total) is calculated by summing the </w:t>
      </w:r>
      <w:r w:rsidRPr="00EE0D03">
        <w:rPr>
          <w:rFonts w:ascii="Arial" w:hAnsi="Arial" w:cs="Arial"/>
          <w:spacing w:val="-3"/>
          <w:sz w:val="20"/>
        </w:rPr>
        <w:t xml:space="preserve">Number of </w:t>
      </w:r>
      <w:proofErr w:type="spellStart"/>
      <w:r>
        <w:rPr>
          <w:rFonts w:ascii="Arial" w:hAnsi="Arial" w:cs="Arial"/>
          <w:spacing w:val="-3"/>
          <w:sz w:val="20"/>
        </w:rPr>
        <w:t>de</w:t>
      </w:r>
      <w:r w:rsidRPr="00EE0D03">
        <w:rPr>
          <w:rFonts w:ascii="Arial" w:hAnsi="Arial" w:cs="Arial"/>
          <w:spacing w:val="-3"/>
          <w:sz w:val="20"/>
        </w:rPr>
        <w:t>listings</w:t>
      </w:r>
      <w:proofErr w:type="spellEnd"/>
      <w:r w:rsidRPr="00EE0D03">
        <w:rPr>
          <w:rFonts w:ascii="Arial" w:hAnsi="Arial" w:cs="Arial"/>
          <w:spacing w:val="-3"/>
          <w:sz w:val="20"/>
        </w:rPr>
        <w:t xml:space="preserve"> (Domestic)</w:t>
      </w:r>
      <w:r>
        <w:rPr>
          <w:rFonts w:ascii="Arial" w:hAnsi="Arial" w:cs="Arial"/>
          <w:spacing w:val="-3"/>
          <w:sz w:val="20"/>
        </w:rPr>
        <w:t xml:space="preserve"> and the </w:t>
      </w:r>
      <w:r w:rsidRPr="00EE0D03">
        <w:rPr>
          <w:rFonts w:ascii="Arial" w:hAnsi="Arial" w:cs="Arial"/>
          <w:spacing w:val="-3"/>
          <w:sz w:val="20"/>
        </w:rPr>
        <w:t xml:space="preserve">Number of </w:t>
      </w:r>
      <w:proofErr w:type="spellStart"/>
      <w:r>
        <w:rPr>
          <w:rFonts w:ascii="Arial" w:hAnsi="Arial" w:cs="Arial"/>
          <w:spacing w:val="-3"/>
          <w:sz w:val="20"/>
        </w:rPr>
        <w:t>de</w:t>
      </w:r>
      <w:r w:rsidRPr="00EE0D03">
        <w:rPr>
          <w:rFonts w:ascii="Arial" w:hAnsi="Arial" w:cs="Arial"/>
          <w:spacing w:val="-3"/>
          <w:sz w:val="20"/>
        </w:rPr>
        <w:t>listings</w:t>
      </w:r>
      <w:proofErr w:type="spellEnd"/>
      <w:r w:rsidRPr="00EE0D03">
        <w:rPr>
          <w:rFonts w:ascii="Arial" w:hAnsi="Arial" w:cs="Arial"/>
          <w:spacing w:val="-3"/>
          <w:sz w:val="20"/>
        </w:rPr>
        <w:t xml:space="preserve"> total (</w:t>
      </w:r>
      <w:r>
        <w:rPr>
          <w:rFonts w:ascii="Arial" w:hAnsi="Arial" w:cs="Arial"/>
          <w:spacing w:val="-3"/>
          <w:sz w:val="20"/>
        </w:rPr>
        <w:t>Foreign</w:t>
      </w:r>
      <w:r w:rsidRPr="00EE0D03">
        <w:rPr>
          <w:rFonts w:ascii="Arial" w:hAnsi="Arial" w:cs="Arial"/>
          <w:spacing w:val="-3"/>
          <w:sz w:val="20"/>
        </w:rPr>
        <w:t>)</w:t>
      </w:r>
      <w:r>
        <w:rPr>
          <w:rFonts w:ascii="Arial" w:hAnsi="Arial" w:cs="Arial"/>
          <w:spacing w:val="-3"/>
          <w:sz w:val="20"/>
        </w:rPr>
        <w:t>.</w:t>
      </w:r>
    </w:p>
    <w:p w14:paraId="7F998CBD"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7A00DE4" w14:textId="7A8947EF" w:rsidR="00705CC4" w:rsidRPr="00490F9F" w:rsidRDefault="00705CC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These indicators are </w:t>
      </w:r>
      <w:r w:rsidR="00616E2F">
        <w:rPr>
          <w:rFonts w:ascii="Arial" w:hAnsi="Arial" w:cs="Arial"/>
          <w:spacing w:val="-3"/>
          <w:sz w:val="20"/>
        </w:rPr>
        <w:t xml:space="preserve">only </w:t>
      </w:r>
      <w:r>
        <w:rPr>
          <w:rFonts w:ascii="Arial" w:hAnsi="Arial" w:cs="Arial"/>
          <w:spacing w:val="-3"/>
          <w:sz w:val="20"/>
        </w:rPr>
        <w:t xml:space="preserve">collected annually. </w:t>
      </w:r>
    </w:p>
    <w:p w14:paraId="0599037D" w14:textId="77777777" w:rsidR="00FA2FEF" w:rsidRDefault="00FA2FEF" w:rsidP="00E91CD3">
      <w:pPr>
        <w:spacing w:after="0" w:line="240" w:lineRule="auto"/>
        <w:rPr>
          <w:rFonts w:ascii="Arial" w:eastAsia="Times New Roman" w:hAnsi="Arial" w:cs="Arial"/>
          <w:b/>
          <w:snapToGrid w:val="0"/>
          <w:spacing w:val="-3"/>
          <w:szCs w:val="20"/>
          <w:lang w:eastAsia="fr-FR"/>
        </w:rPr>
      </w:pPr>
    </w:p>
    <w:p w14:paraId="7F3E0FCB" w14:textId="61333C31" w:rsidR="00A32554" w:rsidRPr="00A32554"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A32554" w:rsidRPr="00A32554">
        <w:rPr>
          <w:rFonts w:ascii="Arial" w:eastAsia="Times New Roman" w:hAnsi="Arial" w:cs="Arial"/>
          <w:b/>
          <w:snapToGrid w:val="0"/>
          <w:spacing w:val="-3"/>
          <w:szCs w:val="20"/>
          <w:lang w:eastAsia="fr-FR"/>
        </w:rPr>
        <w:t>Capital raised through IPO (Newly issued shares)</w:t>
      </w:r>
    </w:p>
    <w:p w14:paraId="0AF0CC72" w14:textId="79E88223" w:rsidR="00A32554" w:rsidRPr="00A32554"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A32554" w:rsidRPr="00A32554">
        <w:rPr>
          <w:rFonts w:ascii="Arial" w:eastAsia="Times New Roman" w:hAnsi="Arial" w:cs="Arial"/>
          <w:b/>
          <w:snapToGrid w:val="0"/>
          <w:spacing w:val="-3"/>
          <w:szCs w:val="20"/>
          <w:lang w:eastAsia="fr-FR"/>
        </w:rPr>
        <w:t>Capital raised through IPO (Already issued shares)</w:t>
      </w:r>
    </w:p>
    <w:p w14:paraId="54143DD6" w14:textId="67D57C36" w:rsidR="00A32554"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A32554" w:rsidRPr="00A32554">
        <w:rPr>
          <w:rFonts w:ascii="Arial" w:eastAsia="Times New Roman" w:hAnsi="Arial" w:cs="Arial"/>
          <w:b/>
          <w:snapToGrid w:val="0"/>
          <w:spacing w:val="-3"/>
          <w:szCs w:val="20"/>
          <w:lang w:eastAsia="fr-FR"/>
        </w:rPr>
        <w:t>Capital raised through IPO (Total)</w:t>
      </w:r>
    </w:p>
    <w:p w14:paraId="5ECA187B" w14:textId="040B1B6E" w:rsidR="008E0C7D" w:rsidRPr="008E0C7D"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E0C7D" w:rsidRPr="008E0C7D">
        <w:rPr>
          <w:rFonts w:ascii="Arial" w:eastAsia="Times New Roman" w:hAnsi="Arial" w:cs="Arial"/>
          <w:b/>
          <w:snapToGrid w:val="0"/>
          <w:spacing w:val="-3"/>
          <w:szCs w:val="20"/>
          <w:lang w:eastAsia="fr-FR"/>
        </w:rPr>
        <w:t>Capital raised by already listed companies (Newly issued shares)</w:t>
      </w:r>
    </w:p>
    <w:p w14:paraId="0A1A0998" w14:textId="39280F72" w:rsidR="008E0C7D" w:rsidRPr="008E0C7D"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E0C7D" w:rsidRPr="008E0C7D">
        <w:rPr>
          <w:rFonts w:ascii="Arial" w:eastAsia="Times New Roman" w:hAnsi="Arial" w:cs="Arial"/>
          <w:b/>
          <w:snapToGrid w:val="0"/>
          <w:spacing w:val="-3"/>
          <w:szCs w:val="20"/>
          <w:lang w:eastAsia="fr-FR"/>
        </w:rPr>
        <w:t>Capital raised by already listed companies (Already issued shares)</w:t>
      </w:r>
    </w:p>
    <w:p w14:paraId="69C871FB" w14:textId="50E56300" w:rsidR="00B21F19"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E0C7D" w:rsidRPr="008E0C7D">
        <w:rPr>
          <w:rFonts w:ascii="Arial" w:eastAsia="Times New Roman" w:hAnsi="Arial" w:cs="Arial"/>
          <w:b/>
          <w:snapToGrid w:val="0"/>
          <w:spacing w:val="-3"/>
          <w:szCs w:val="20"/>
          <w:lang w:eastAsia="fr-FR"/>
        </w:rPr>
        <w:t>Capital raised by already listed companies (Total)</w:t>
      </w:r>
    </w:p>
    <w:p w14:paraId="0AA7EDE8" w14:textId="77777777" w:rsidR="00DA555D"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BAAF3AF" w14:textId="56A35C9C" w:rsidR="008355EC" w:rsidRDefault="008355E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aggregated value of money raised </w:t>
      </w:r>
      <w:r w:rsidR="0077327D">
        <w:rPr>
          <w:rFonts w:ascii="Arial" w:hAnsi="Arial" w:cs="Arial"/>
          <w:spacing w:val="-3"/>
          <w:sz w:val="20"/>
        </w:rPr>
        <w:t xml:space="preserve">through an </w:t>
      </w:r>
      <w:r w:rsidR="00BD1ECB" w:rsidRPr="00BD1ECB">
        <w:rPr>
          <w:rFonts w:ascii="Arial" w:eastAsia="Times New Roman" w:hAnsi="Arial" w:cs="Arial"/>
          <w:snapToGrid w:val="0"/>
          <w:color w:val="002060"/>
          <w:sz w:val="20"/>
          <w:szCs w:val="20"/>
          <w:u w:val="single"/>
          <w:lang w:eastAsia="fr-FR"/>
        </w:rPr>
        <w:fldChar w:fldCharType="begin"/>
      </w:r>
      <w:r w:rsidR="00BD1ECB" w:rsidRPr="00BD1ECB">
        <w:rPr>
          <w:rFonts w:ascii="Arial" w:eastAsia="Times New Roman" w:hAnsi="Arial" w:cs="Arial"/>
          <w:snapToGrid w:val="0"/>
          <w:color w:val="002060"/>
          <w:sz w:val="20"/>
          <w:szCs w:val="20"/>
          <w:u w:val="single"/>
          <w:lang w:eastAsia="fr-FR"/>
        </w:rPr>
        <w:instrText xml:space="preserve"> REF _Ref13549272 \h  \* MERGEFORMAT </w:instrText>
      </w:r>
      <w:r w:rsidR="00BD1ECB" w:rsidRPr="00BD1ECB">
        <w:rPr>
          <w:rFonts w:ascii="Arial" w:eastAsia="Times New Roman" w:hAnsi="Arial" w:cs="Arial"/>
          <w:snapToGrid w:val="0"/>
          <w:color w:val="002060"/>
          <w:sz w:val="20"/>
          <w:szCs w:val="20"/>
          <w:u w:val="single"/>
          <w:lang w:eastAsia="fr-FR"/>
        </w:rPr>
      </w:r>
      <w:r w:rsidR="00BD1ECB" w:rsidRPr="00BD1ECB">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Initial Public Offering</w:t>
      </w:r>
      <w:r w:rsidR="00BD1ECB" w:rsidRPr="00BD1ECB">
        <w:rPr>
          <w:rFonts w:ascii="Arial" w:eastAsia="Times New Roman" w:hAnsi="Arial" w:cs="Arial"/>
          <w:snapToGrid w:val="0"/>
          <w:color w:val="002060"/>
          <w:sz w:val="20"/>
          <w:szCs w:val="20"/>
          <w:u w:val="single"/>
          <w:lang w:eastAsia="fr-FR"/>
        </w:rPr>
        <w:fldChar w:fldCharType="end"/>
      </w:r>
      <w:r w:rsidR="00DD3155">
        <w:rPr>
          <w:rFonts w:ascii="Arial" w:hAnsi="Arial" w:cs="Arial"/>
          <w:spacing w:val="-3"/>
          <w:sz w:val="20"/>
        </w:rPr>
        <w:t xml:space="preserve"> or an offer by already listed companies. The</w:t>
      </w:r>
      <w:r w:rsidR="00A32554">
        <w:rPr>
          <w:rFonts w:ascii="Arial" w:hAnsi="Arial" w:cs="Arial"/>
          <w:spacing w:val="-3"/>
          <w:sz w:val="20"/>
        </w:rPr>
        <w:t xml:space="preserve"> </w:t>
      </w:r>
      <w:r w:rsidRPr="00490F9F">
        <w:rPr>
          <w:rFonts w:ascii="Arial" w:hAnsi="Arial" w:cs="Arial"/>
          <w:spacing w:val="-3"/>
          <w:sz w:val="20"/>
        </w:rPr>
        <w:t>shares</w:t>
      </w:r>
      <w:r w:rsidR="0069306B">
        <w:rPr>
          <w:rFonts w:ascii="Arial" w:hAnsi="Arial" w:cs="Arial"/>
          <w:spacing w:val="-3"/>
          <w:sz w:val="20"/>
        </w:rPr>
        <w:t xml:space="preserve"> offered for sale</w:t>
      </w:r>
      <w:r w:rsidRPr="00490F9F">
        <w:rPr>
          <w:rFonts w:ascii="Arial" w:hAnsi="Arial" w:cs="Arial"/>
          <w:spacing w:val="-3"/>
          <w:sz w:val="20"/>
        </w:rPr>
        <w:t xml:space="preserve"> </w:t>
      </w:r>
      <w:r w:rsidR="00DD3155">
        <w:rPr>
          <w:rFonts w:ascii="Arial" w:hAnsi="Arial" w:cs="Arial"/>
          <w:spacing w:val="-3"/>
          <w:sz w:val="20"/>
        </w:rPr>
        <w:t xml:space="preserve">may be </w:t>
      </w:r>
      <w:r w:rsidRPr="00490F9F">
        <w:rPr>
          <w:rFonts w:ascii="Arial" w:hAnsi="Arial" w:cs="Arial"/>
          <w:spacing w:val="-3"/>
          <w:sz w:val="20"/>
        </w:rPr>
        <w:t>already issued or newly issued</w:t>
      </w:r>
      <w:r w:rsidR="0069306B">
        <w:rPr>
          <w:rFonts w:ascii="Arial" w:hAnsi="Arial" w:cs="Arial"/>
          <w:spacing w:val="-3"/>
          <w:sz w:val="20"/>
        </w:rPr>
        <w:t xml:space="preserve"> shares. </w:t>
      </w:r>
      <w:r w:rsidR="005E192C" w:rsidRPr="00AB5DDE">
        <w:rPr>
          <w:rFonts w:ascii="Arial" w:hAnsi="Arial" w:cs="Arial"/>
          <w:spacing w:val="-3"/>
          <w:sz w:val="20"/>
        </w:rPr>
        <w:t xml:space="preserve">The figure should include capital raised through the issuance of convertible instruments (such as convertible bonds or warrants). </w:t>
      </w:r>
      <w:bookmarkStart w:id="6" w:name="_GoBack"/>
      <w:bookmarkEnd w:id="6"/>
      <w:r w:rsidRPr="00490F9F">
        <w:rPr>
          <w:rFonts w:ascii="Arial" w:hAnsi="Arial" w:cs="Arial"/>
          <w:spacing w:val="-3"/>
          <w:sz w:val="20"/>
        </w:rPr>
        <w:t>The figure is calculated by multiplying the number of shares that were placed by the offer price. Only the companies admitted to listing are included. Companies admitted to listing in Exchange A and admitted to trading in exchange B are not included in the statistics of exchange B.</w:t>
      </w:r>
    </w:p>
    <w:p w14:paraId="3155DB68"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502CC75" w14:textId="1FEBBA46" w:rsidR="00A82553" w:rsidRPr="00490F9F"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When possible, private placements are excluded from the investment flow statistics. If it is not possible for an exchange to exclude them, a special footnote with an explanation must be added. A private placement is an issue of new shares or a sale of already issued shares reserved for restricted number of investors.</w:t>
      </w:r>
    </w:p>
    <w:p w14:paraId="576A5B20" w14:textId="77777777" w:rsidR="00A82553" w:rsidRPr="00490F9F"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roofErr w:type="spellStart"/>
      <w:r w:rsidRPr="00490F9F">
        <w:rPr>
          <w:rFonts w:ascii="Arial" w:hAnsi="Arial" w:cs="Arial"/>
          <w:spacing w:val="-3"/>
          <w:sz w:val="20"/>
        </w:rPr>
        <w:t>Greenshoe</w:t>
      </w:r>
      <w:proofErr w:type="spellEnd"/>
      <w:r w:rsidRPr="00490F9F">
        <w:rPr>
          <w:rFonts w:ascii="Arial" w:hAnsi="Arial" w:cs="Arial"/>
          <w:spacing w:val="-3"/>
          <w:sz w:val="20"/>
        </w:rPr>
        <w:t xml:space="preserve"> (over-allotment) options are excluded from investment flows.</w:t>
      </w:r>
    </w:p>
    <w:p w14:paraId="32191F47"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E1A4F5C" w14:textId="45CF05AA" w:rsidR="00A82553" w:rsidRPr="00490F9F"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Listing transfers from one regulated market to another are not included in investment flows as they do not have any impact on the WFE global market capitalisation. </w:t>
      </w:r>
    </w:p>
    <w:p w14:paraId="7136DFC3"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2CF751D" w14:textId="045C580F" w:rsidR="00A82553"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The following table describes, for each type of corporate action, in which category the flow of money has to be classified:</w:t>
      </w:r>
    </w:p>
    <w:p w14:paraId="65AAF0B1" w14:textId="77777777" w:rsidR="00DA555D" w:rsidRPr="00490F9F"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782F61E" w14:textId="77777777" w:rsidR="00A82553" w:rsidRPr="00490F9F" w:rsidRDefault="00A82553" w:rsidP="00E91CD3">
      <w:pPr>
        <w:tabs>
          <w:tab w:val="left" w:pos="-1440"/>
          <w:tab w:val="left" w:pos="-720"/>
          <w:tab w:val="left" w:pos="284"/>
          <w:tab w:val="left" w:pos="720"/>
          <w:tab w:val="left" w:pos="963"/>
          <w:tab w:val="left" w:pos="216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right="-1"/>
        <w:jc w:val="both"/>
        <w:rPr>
          <w:rFonts w:ascii="Arial" w:hAnsi="Arial" w:cs="Arial"/>
          <w:spacing w:val="-3"/>
          <w:sz w:val="20"/>
        </w:rPr>
      </w:pPr>
      <w:r w:rsidRPr="00490F9F">
        <w:rPr>
          <w:rFonts w:ascii="Arial" w:hAnsi="Arial" w:cs="Arial"/>
          <w:noProof/>
          <w:spacing w:val="-3"/>
          <w:sz w:val="20"/>
          <w:lang w:eastAsia="en-GB"/>
        </w:rPr>
        <w:lastRenderedPageBreak/>
        <w:drawing>
          <wp:inline distT="0" distB="0" distL="0" distR="0" wp14:anchorId="4628A2A8" wp14:editId="1FF4E4FE">
            <wp:extent cx="611505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295900"/>
                    </a:xfrm>
                    <a:prstGeom prst="rect">
                      <a:avLst/>
                    </a:prstGeom>
                    <a:noFill/>
                    <a:ln>
                      <a:noFill/>
                    </a:ln>
                  </pic:spPr>
                </pic:pic>
              </a:graphicData>
            </a:graphic>
          </wp:inline>
        </w:drawing>
      </w:r>
    </w:p>
    <w:p w14:paraId="59FD8263" w14:textId="77777777" w:rsidR="00FA2FEF" w:rsidRDefault="00FA2FEF" w:rsidP="00E91CD3">
      <w:pPr>
        <w:pStyle w:val="Heading3"/>
        <w:spacing w:before="0" w:line="240" w:lineRule="auto"/>
        <w:rPr>
          <w:rFonts w:ascii="Arial" w:hAnsi="Arial" w:cs="Arial"/>
          <w:b/>
          <w:color w:val="auto"/>
          <w:sz w:val="22"/>
          <w:szCs w:val="22"/>
        </w:rPr>
      </w:pPr>
    </w:p>
    <w:p w14:paraId="107EDA95" w14:textId="2ABE1A23" w:rsidR="00A0130D" w:rsidRPr="003775B8" w:rsidRDefault="003D6547" w:rsidP="003775B8">
      <w:pPr>
        <w:spacing w:after="0"/>
        <w:rPr>
          <w:rFonts w:ascii="Arial" w:hAnsi="Arial" w:cs="Arial"/>
          <w:b/>
          <w:bCs/>
        </w:rPr>
      </w:pPr>
      <w:r w:rsidRPr="003775B8">
        <w:rPr>
          <w:rFonts w:ascii="Arial" w:hAnsi="Arial" w:cs="Arial"/>
          <w:b/>
          <w:bCs/>
        </w:rPr>
        <w:t xml:space="preserve">Indicator: </w:t>
      </w:r>
      <w:r w:rsidR="00A0130D" w:rsidRPr="003775B8">
        <w:rPr>
          <w:rFonts w:ascii="Arial" w:hAnsi="Arial" w:cs="Arial"/>
          <w:b/>
          <w:bCs/>
        </w:rPr>
        <w:t>Share in total market cap of the 5% most capitalised domestic co.</w:t>
      </w:r>
    </w:p>
    <w:p w14:paraId="6D943AA7" w14:textId="58A66BC1" w:rsidR="00A0130D" w:rsidRPr="003775B8" w:rsidRDefault="00A0130D" w:rsidP="003775B8">
      <w:pPr>
        <w:spacing w:after="0"/>
        <w:rPr>
          <w:rFonts w:ascii="Arial" w:hAnsi="Arial" w:cs="Arial"/>
          <w:b/>
          <w:bCs/>
        </w:rPr>
      </w:pPr>
      <w:r w:rsidRPr="003775B8">
        <w:rPr>
          <w:rFonts w:ascii="Arial" w:hAnsi="Arial" w:cs="Arial"/>
          <w:b/>
          <w:bCs/>
        </w:rPr>
        <w:t>Indicator: Share in total trading value of the 5% most traded domestic co.</w:t>
      </w:r>
    </w:p>
    <w:p w14:paraId="6A9AFF2B" w14:textId="0380BE48" w:rsidR="00A0130D" w:rsidRPr="003775B8" w:rsidRDefault="00A0130D" w:rsidP="003775B8">
      <w:pPr>
        <w:spacing w:after="0"/>
        <w:rPr>
          <w:rFonts w:ascii="Arial" w:hAnsi="Arial" w:cs="Arial"/>
          <w:b/>
          <w:bCs/>
        </w:rPr>
      </w:pPr>
      <w:r w:rsidRPr="003775B8">
        <w:rPr>
          <w:rFonts w:ascii="Arial" w:hAnsi="Arial" w:cs="Arial"/>
          <w:b/>
          <w:bCs/>
        </w:rPr>
        <w:t>Indicator: Share in total market cap of the top 10 most capitalised domestic co.</w:t>
      </w:r>
    </w:p>
    <w:p w14:paraId="72A3CE7E" w14:textId="579987A3" w:rsidR="00925973" w:rsidRDefault="00A0130D" w:rsidP="00DA555D">
      <w:pPr>
        <w:spacing w:after="0"/>
        <w:rPr>
          <w:rFonts w:ascii="Arial" w:hAnsi="Arial" w:cs="Arial"/>
          <w:i/>
          <w:iCs/>
          <w:spacing w:val="-3"/>
          <w:sz w:val="20"/>
          <w:u w:val="single"/>
        </w:rPr>
      </w:pPr>
      <w:r w:rsidRPr="003775B8">
        <w:rPr>
          <w:rFonts w:ascii="Arial" w:hAnsi="Arial" w:cs="Arial"/>
          <w:b/>
          <w:bCs/>
        </w:rPr>
        <w:t>Indicator: Share in total trading value of the top 10 most traded domestic co.</w:t>
      </w:r>
      <w:r w:rsidR="00DA555D">
        <w:rPr>
          <w:rFonts w:ascii="Arial" w:hAnsi="Arial" w:cs="Arial"/>
          <w:b/>
          <w:bCs/>
        </w:rPr>
        <w:t xml:space="preserve"> </w:t>
      </w:r>
    </w:p>
    <w:p w14:paraId="21A4638D" w14:textId="77777777" w:rsidR="006A5DB9" w:rsidRDefault="006A5DB9" w:rsidP="00DA555D">
      <w:pPr>
        <w:rPr>
          <w:rFonts w:ascii="Arial" w:hAnsi="Arial" w:cs="Arial"/>
          <w:i/>
          <w:iCs/>
          <w:spacing w:val="-3"/>
          <w:sz w:val="20"/>
          <w:u w:val="single"/>
        </w:rPr>
      </w:pPr>
    </w:p>
    <w:p w14:paraId="76B2BFB9" w14:textId="562D445C" w:rsidR="004146D2" w:rsidRPr="00490F9F" w:rsidRDefault="004146D2" w:rsidP="00DA555D">
      <w:pPr>
        <w:rPr>
          <w:rFonts w:ascii="Arial" w:hAnsi="Arial" w:cs="Arial"/>
          <w:i/>
          <w:iCs/>
          <w:spacing w:val="-3"/>
          <w:sz w:val="20"/>
          <w:u w:val="single"/>
        </w:rPr>
      </w:pPr>
      <w:r w:rsidRPr="00490F9F">
        <w:rPr>
          <w:rFonts w:ascii="Arial" w:hAnsi="Arial" w:cs="Arial"/>
          <w:i/>
          <w:iCs/>
          <w:spacing w:val="-3"/>
          <w:sz w:val="20"/>
          <w:u w:val="single"/>
        </w:rPr>
        <w:t xml:space="preserve">Definition </w:t>
      </w:r>
    </w:p>
    <w:p w14:paraId="50F860BD" w14:textId="203A7E4C" w:rsidR="004146D2"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Market concentration shows</w:t>
      </w:r>
      <w:r>
        <w:rPr>
          <w:rFonts w:ascii="Arial" w:hAnsi="Arial" w:cs="Arial"/>
          <w:spacing w:val="-3"/>
          <w:sz w:val="20"/>
        </w:rPr>
        <w:t>:</w:t>
      </w:r>
      <w:r w:rsidRPr="00490F9F">
        <w:rPr>
          <w:rFonts w:ascii="Arial" w:hAnsi="Arial" w:cs="Arial"/>
          <w:spacing w:val="-3"/>
          <w:sz w:val="20"/>
        </w:rPr>
        <w:t xml:space="preserve"> </w:t>
      </w:r>
    </w:p>
    <w:p w14:paraId="7F0BE71F" w14:textId="77777777" w:rsidR="00925973"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3A4169D" w14:textId="24DC498D" w:rsidR="004146D2" w:rsidRPr="00A55E94"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proofErr w:type="gramStart"/>
      <w:r w:rsidRPr="00864282">
        <w:rPr>
          <w:rFonts w:ascii="Arial" w:hAnsi="Arial" w:cs="Arial"/>
          <w:spacing w:val="-3"/>
          <w:sz w:val="20"/>
        </w:rPr>
        <w:t>the</w:t>
      </w:r>
      <w:proofErr w:type="gramEnd"/>
      <w:r w:rsidRPr="00864282">
        <w:rPr>
          <w:rFonts w:ascii="Arial" w:hAnsi="Arial" w:cs="Arial"/>
          <w:spacing w:val="-3"/>
          <w:sz w:val="20"/>
        </w:rPr>
        <w:t xml:space="preserve"> contribution of the top 5% of listed </w:t>
      </w:r>
      <w:r w:rsidR="00CF79EE" w:rsidRPr="00A55E94">
        <w:rPr>
          <w:rFonts w:ascii="Arial" w:hAnsi="Arial" w:cs="Arial"/>
          <w:color w:val="002060"/>
          <w:sz w:val="20"/>
          <w:u w:val="single"/>
        </w:rPr>
        <w:fldChar w:fldCharType="begin"/>
      </w:r>
      <w:r w:rsidR="00CF79EE" w:rsidRPr="00A55E94">
        <w:rPr>
          <w:rFonts w:ascii="Arial" w:hAnsi="Arial" w:cs="Arial"/>
          <w:color w:val="002060"/>
          <w:sz w:val="20"/>
          <w:u w:val="single"/>
        </w:rPr>
        <w:instrText xml:space="preserve"> REF _Ref13563231 \h  \* MERGEFORMAT </w:instrText>
      </w:r>
      <w:r w:rsidR="00CF79EE" w:rsidRPr="00A55E94">
        <w:rPr>
          <w:rFonts w:ascii="Arial" w:hAnsi="Arial" w:cs="Arial"/>
          <w:color w:val="002060"/>
          <w:sz w:val="20"/>
          <w:u w:val="single"/>
        </w:rPr>
      </w:r>
      <w:r w:rsidR="00CF79EE" w:rsidRPr="00A55E94">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CF79EE" w:rsidRPr="00A55E94">
        <w:rPr>
          <w:rFonts w:ascii="Arial" w:hAnsi="Arial" w:cs="Arial"/>
          <w:color w:val="002060"/>
          <w:sz w:val="20"/>
          <w:u w:val="single"/>
        </w:rPr>
        <w:fldChar w:fldCharType="end"/>
      </w:r>
      <w:r w:rsidRPr="00A55E94">
        <w:rPr>
          <w:rFonts w:ascii="Arial" w:hAnsi="Arial" w:cs="Arial"/>
          <w:spacing w:val="-3"/>
          <w:sz w:val="20"/>
        </w:rPr>
        <w:t xml:space="preserve"> by market capitalisation and value traded respectively to total market capitalisation and value traded. </w:t>
      </w:r>
    </w:p>
    <w:p w14:paraId="29046AB7" w14:textId="79BCF61F" w:rsidR="004146D2" w:rsidRPr="00864282"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proofErr w:type="gramStart"/>
      <w:r w:rsidRPr="00A55E94">
        <w:rPr>
          <w:rFonts w:ascii="Arial" w:hAnsi="Arial" w:cs="Arial"/>
          <w:spacing w:val="-3"/>
          <w:sz w:val="20"/>
        </w:rPr>
        <w:t>the</w:t>
      </w:r>
      <w:proofErr w:type="gramEnd"/>
      <w:r w:rsidRPr="00A55E94">
        <w:rPr>
          <w:rFonts w:ascii="Arial" w:hAnsi="Arial" w:cs="Arial"/>
          <w:spacing w:val="-3"/>
          <w:sz w:val="20"/>
        </w:rPr>
        <w:t xml:space="preserve"> contribution of the 10 largest listed </w:t>
      </w:r>
      <w:r w:rsidR="00CF79EE" w:rsidRPr="00A55E94">
        <w:rPr>
          <w:rFonts w:ascii="Arial" w:hAnsi="Arial" w:cs="Arial"/>
          <w:color w:val="002060"/>
          <w:sz w:val="20"/>
          <w:u w:val="single"/>
        </w:rPr>
        <w:fldChar w:fldCharType="begin"/>
      </w:r>
      <w:r w:rsidR="00CF79EE" w:rsidRPr="00A55E94">
        <w:rPr>
          <w:rFonts w:ascii="Arial" w:hAnsi="Arial" w:cs="Arial"/>
          <w:color w:val="002060"/>
          <w:sz w:val="20"/>
          <w:u w:val="single"/>
        </w:rPr>
        <w:instrText xml:space="preserve"> REF _Ref13563231 \h  \* MERGEFORMAT </w:instrText>
      </w:r>
      <w:r w:rsidR="00CF79EE" w:rsidRPr="00A55E94">
        <w:rPr>
          <w:rFonts w:ascii="Arial" w:hAnsi="Arial" w:cs="Arial"/>
          <w:color w:val="002060"/>
          <w:sz w:val="20"/>
          <w:u w:val="single"/>
        </w:rPr>
      </w:r>
      <w:r w:rsidR="00CF79EE" w:rsidRPr="00A55E94">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CF79EE" w:rsidRPr="00A55E94">
        <w:rPr>
          <w:rFonts w:ascii="Arial" w:hAnsi="Arial" w:cs="Arial"/>
          <w:color w:val="002060"/>
          <w:sz w:val="20"/>
          <w:u w:val="single"/>
        </w:rPr>
        <w:fldChar w:fldCharType="end"/>
      </w:r>
      <w:r w:rsidRPr="00864282">
        <w:rPr>
          <w:rFonts w:ascii="Arial" w:hAnsi="Arial" w:cs="Arial"/>
          <w:spacing w:val="-3"/>
          <w:sz w:val="20"/>
        </w:rPr>
        <w:t xml:space="preserve"> </w:t>
      </w:r>
      <w:r>
        <w:rPr>
          <w:rFonts w:ascii="Arial" w:hAnsi="Arial" w:cs="Arial"/>
          <w:spacing w:val="-3"/>
          <w:sz w:val="20"/>
        </w:rPr>
        <w:t>by market capitalisation and value traded respectively to total market capitalisation and value traded.</w:t>
      </w:r>
    </w:p>
    <w:p w14:paraId="54E86341" w14:textId="77777777" w:rsidR="00925973"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91B9603" w14:textId="1135B834" w:rsidR="004146D2"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This information is expressed as a percentage</w:t>
      </w:r>
      <w:r>
        <w:rPr>
          <w:rFonts w:ascii="Arial" w:hAnsi="Arial" w:cs="Arial"/>
          <w:spacing w:val="-3"/>
          <w:sz w:val="20"/>
        </w:rPr>
        <w:t>.</w:t>
      </w:r>
    </w:p>
    <w:p w14:paraId="626A39DB" w14:textId="77777777" w:rsidR="00925973" w:rsidRPr="00490F9F"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7775557" w14:textId="77777777"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market cap. in top 5% most heavily capitali</w:t>
      </w:r>
      <w:r>
        <w:rPr>
          <w:rFonts w:ascii="Arial" w:hAnsi="Arial" w:cs="Arial"/>
          <w:bCs/>
          <w:i/>
          <w:sz w:val="20"/>
          <w:u w:val="single"/>
        </w:rPr>
        <w:t>s</w:t>
      </w:r>
      <w:r w:rsidRPr="00490F9F">
        <w:rPr>
          <w:rFonts w:ascii="Arial" w:hAnsi="Arial" w:cs="Arial"/>
          <w:bCs/>
          <w:i/>
          <w:sz w:val="20"/>
          <w:u w:val="single"/>
        </w:rPr>
        <w:t xml:space="preserve">ed)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645"/>
        <w:gridCol w:w="2126"/>
        <w:gridCol w:w="1899"/>
        <w:gridCol w:w="2070"/>
      </w:tblGrid>
      <w:tr w:rsidR="004146D2" w:rsidRPr="00490F9F" w14:paraId="39443E5B" w14:textId="77777777" w:rsidTr="00D53E74">
        <w:tc>
          <w:tcPr>
            <w:tcW w:w="1899" w:type="dxa"/>
            <w:shd w:val="clear" w:color="auto" w:fill="00709E"/>
            <w:vAlign w:val="center"/>
          </w:tcPr>
          <w:p w14:paraId="3AD8700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645" w:type="dxa"/>
            <w:shd w:val="clear" w:color="auto" w:fill="00709E"/>
            <w:vAlign w:val="center"/>
          </w:tcPr>
          <w:p w14:paraId="1C4EF219"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Top 5% of listed domestic companies</w:t>
            </w:r>
          </w:p>
        </w:tc>
        <w:tc>
          <w:tcPr>
            <w:tcW w:w="2126" w:type="dxa"/>
            <w:shd w:val="clear" w:color="auto" w:fill="00709E"/>
            <w:vAlign w:val="center"/>
          </w:tcPr>
          <w:p w14:paraId="1BAA60FB"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Market cap of these 5% companies (USD m)</w:t>
            </w:r>
          </w:p>
        </w:tc>
        <w:tc>
          <w:tcPr>
            <w:tcW w:w="1899" w:type="dxa"/>
            <w:shd w:val="clear" w:color="auto" w:fill="00709E"/>
            <w:vAlign w:val="center"/>
          </w:tcPr>
          <w:p w14:paraId="725743FD"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market cap</w:t>
            </w:r>
          </w:p>
        </w:tc>
        <w:tc>
          <w:tcPr>
            <w:tcW w:w="2070" w:type="dxa"/>
            <w:shd w:val="clear" w:color="auto" w:fill="00709E"/>
            <w:vAlign w:val="center"/>
          </w:tcPr>
          <w:p w14:paraId="18D833B4" w14:textId="2F0BBC95"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market cap. in top 5% most heavily capitali</w:t>
            </w:r>
            <w:r w:rsidR="00A6547F">
              <w:rPr>
                <w:rFonts w:ascii="Arial" w:hAnsi="Arial" w:cs="Arial"/>
                <w:b/>
                <w:color w:val="FFFFFF"/>
                <w:sz w:val="16"/>
                <w:szCs w:val="16"/>
              </w:rPr>
              <w:t>s</w:t>
            </w:r>
            <w:r w:rsidRPr="00490F9F">
              <w:rPr>
                <w:rFonts w:ascii="Arial" w:hAnsi="Arial" w:cs="Arial"/>
                <w:b/>
                <w:color w:val="FFFFFF"/>
                <w:sz w:val="16"/>
                <w:szCs w:val="16"/>
              </w:rPr>
              <w:t>ed companies</w:t>
            </w:r>
          </w:p>
        </w:tc>
      </w:tr>
      <w:tr w:rsidR="004146D2" w:rsidRPr="00490F9F" w14:paraId="574F8E8C" w14:textId="77777777" w:rsidTr="00D53E74">
        <w:tc>
          <w:tcPr>
            <w:tcW w:w="1899" w:type="dxa"/>
            <w:vAlign w:val="center"/>
          </w:tcPr>
          <w:p w14:paraId="0A190B38"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645" w:type="dxa"/>
            <w:vAlign w:val="center"/>
          </w:tcPr>
          <w:p w14:paraId="7DD014DE"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25</w:t>
            </w:r>
          </w:p>
        </w:tc>
        <w:tc>
          <w:tcPr>
            <w:tcW w:w="2126" w:type="dxa"/>
            <w:vAlign w:val="center"/>
          </w:tcPr>
          <w:p w14:paraId="32BD8B53"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235,000</w:t>
            </w:r>
          </w:p>
        </w:tc>
        <w:tc>
          <w:tcPr>
            <w:tcW w:w="1899" w:type="dxa"/>
            <w:vAlign w:val="center"/>
          </w:tcPr>
          <w:p w14:paraId="2C96C09A"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500,000</w:t>
            </w:r>
          </w:p>
        </w:tc>
        <w:tc>
          <w:tcPr>
            <w:tcW w:w="2070" w:type="dxa"/>
            <w:vAlign w:val="center"/>
          </w:tcPr>
          <w:p w14:paraId="2E67986E"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47.0%</w:t>
            </w:r>
          </w:p>
        </w:tc>
      </w:tr>
    </w:tbl>
    <w:p w14:paraId="221C81DA" w14:textId="77777777" w:rsidR="004146D2" w:rsidRPr="00490F9F" w:rsidRDefault="004146D2" w:rsidP="00E91CD3">
      <w:pPr>
        <w:suppressAutoHyphens/>
        <w:spacing w:after="0" w:line="240" w:lineRule="auto"/>
        <w:jc w:val="both"/>
        <w:rPr>
          <w:rFonts w:ascii="Arial" w:hAnsi="Arial" w:cs="Arial"/>
          <w:spacing w:val="-3"/>
          <w:sz w:val="20"/>
        </w:rPr>
      </w:pPr>
    </w:p>
    <w:p w14:paraId="3AAE5EBD" w14:textId="77777777"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turnover value in top 5% most traded companies)</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899"/>
        <w:gridCol w:w="1900"/>
        <w:gridCol w:w="1899"/>
        <w:gridCol w:w="2042"/>
      </w:tblGrid>
      <w:tr w:rsidR="004146D2" w:rsidRPr="00490F9F" w14:paraId="094D4688" w14:textId="77777777" w:rsidTr="0001525E">
        <w:tc>
          <w:tcPr>
            <w:tcW w:w="1899" w:type="dxa"/>
            <w:shd w:val="clear" w:color="auto" w:fill="00709E"/>
            <w:vAlign w:val="center"/>
          </w:tcPr>
          <w:p w14:paraId="04BCF7C1"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899" w:type="dxa"/>
            <w:shd w:val="clear" w:color="auto" w:fill="00709E"/>
            <w:vAlign w:val="center"/>
          </w:tcPr>
          <w:p w14:paraId="607964D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Top 5% of listed domestic companies</w:t>
            </w:r>
          </w:p>
        </w:tc>
        <w:tc>
          <w:tcPr>
            <w:tcW w:w="1900" w:type="dxa"/>
            <w:shd w:val="clear" w:color="auto" w:fill="00709E"/>
            <w:vAlign w:val="center"/>
          </w:tcPr>
          <w:p w14:paraId="2C1EF2D0"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Turnover value of the 5% companies (USD m)</w:t>
            </w:r>
          </w:p>
        </w:tc>
        <w:tc>
          <w:tcPr>
            <w:tcW w:w="1899" w:type="dxa"/>
            <w:shd w:val="clear" w:color="auto" w:fill="00709E"/>
            <w:vAlign w:val="center"/>
          </w:tcPr>
          <w:p w14:paraId="3A55D374"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turnover</w:t>
            </w:r>
          </w:p>
        </w:tc>
        <w:tc>
          <w:tcPr>
            <w:tcW w:w="2042" w:type="dxa"/>
            <w:shd w:val="clear" w:color="auto" w:fill="00709E"/>
            <w:vAlign w:val="center"/>
          </w:tcPr>
          <w:p w14:paraId="099DE455"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turnover value in top 5% most traded companies</w:t>
            </w:r>
          </w:p>
        </w:tc>
      </w:tr>
      <w:tr w:rsidR="004146D2" w:rsidRPr="00490F9F" w14:paraId="496873E8" w14:textId="77777777" w:rsidTr="0001525E">
        <w:tc>
          <w:tcPr>
            <w:tcW w:w="1899" w:type="dxa"/>
            <w:vAlign w:val="center"/>
          </w:tcPr>
          <w:p w14:paraId="749784FA"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899" w:type="dxa"/>
            <w:vAlign w:val="center"/>
          </w:tcPr>
          <w:p w14:paraId="73D56626"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25</w:t>
            </w:r>
          </w:p>
        </w:tc>
        <w:tc>
          <w:tcPr>
            <w:tcW w:w="1900" w:type="dxa"/>
            <w:vAlign w:val="center"/>
          </w:tcPr>
          <w:p w14:paraId="5CBCBF68"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55,000</w:t>
            </w:r>
          </w:p>
        </w:tc>
        <w:tc>
          <w:tcPr>
            <w:tcW w:w="1899" w:type="dxa"/>
            <w:vAlign w:val="center"/>
          </w:tcPr>
          <w:p w14:paraId="5007DF82"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85,000</w:t>
            </w:r>
          </w:p>
        </w:tc>
        <w:tc>
          <w:tcPr>
            <w:tcW w:w="2042" w:type="dxa"/>
            <w:vAlign w:val="center"/>
          </w:tcPr>
          <w:p w14:paraId="59165930"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65.7%</w:t>
            </w:r>
          </w:p>
        </w:tc>
      </w:tr>
    </w:tbl>
    <w:p w14:paraId="7AD7A3FB" w14:textId="77777777" w:rsidR="004146D2" w:rsidRDefault="004146D2" w:rsidP="00E91CD3">
      <w:pPr>
        <w:suppressAutoHyphens/>
        <w:spacing w:after="0" w:line="240" w:lineRule="auto"/>
        <w:jc w:val="both"/>
        <w:rPr>
          <w:rFonts w:ascii="Arial" w:hAnsi="Arial" w:cs="Arial"/>
          <w:bCs/>
          <w:i/>
          <w:sz w:val="20"/>
          <w:u w:val="single"/>
        </w:rPr>
      </w:pPr>
    </w:p>
    <w:p w14:paraId="47337395" w14:textId="5A5B47A0"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market cap. in top 10 most heavily capitali</w:t>
      </w:r>
      <w:r>
        <w:rPr>
          <w:rFonts w:ascii="Arial" w:hAnsi="Arial" w:cs="Arial"/>
          <w:bCs/>
          <w:i/>
          <w:sz w:val="20"/>
          <w:u w:val="single"/>
        </w:rPr>
        <w:t>s</w:t>
      </w:r>
      <w:r w:rsidRPr="00490F9F">
        <w:rPr>
          <w:rFonts w:ascii="Arial" w:hAnsi="Arial" w:cs="Arial"/>
          <w:bCs/>
          <w:i/>
          <w:sz w:val="20"/>
          <w:u w:val="single"/>
        </w:rPr>
        <w:t xml:space="preserve">ed companies)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899"/>
        <w:gridCol w:w="1900"/>
        <w:gridCol w:w="1899"/>
        <w:gridCol w:w="2042"/>
      </w:tblGrid>
      <w:tr w:rsidR="004146D2" w:rsidRPr="00490F9F" w14:paraId="2AAD681C" w14:textId="77777777" w:rsidTr="0001525E">
        <w:tc>
          <w:tcPr>
            <w:tcW w:w="1899" w:type="dxa"/>
            <w:shd w:val="clear" w:color="auto" w:fill="00709E"/>
          </w:tcPr>
          <w:p w14:paraId="5F0DAA1C"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899" w:type="dxa"/>
            <w:shd w:val="clear" w:color="auto" w:fill="00709E"/>
          </w:tcPr>
          <w:p w14:paraId="2A43E457"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Top 10 listed domestic companies by market cap </w:t>
            </w:r>
          </w:p>
        </w:tc>
        <w:tc>
          <w:tcPr>
            <w:tcW w:w="1900" w:type="dxa"/>
            <w:shd w:val="clear" w:color="auto" w:fill="00709E"/>
          </w:tcPr>
          <w:p w14:paraId="099BB43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Market cap of the top 10 companies (USD m)</w:t>
            </w:r>
          </w:p>
        </w:tc>
        <w:tc>
          <w:tcPr>
            <w:tcW w:w="1899" w:type="dxa"/>
            <w:shd w:val="clear" w:color="auto" w:fill="00709E"/>
          </w:tcPr>
          <w:p w14:paraId="355DC7A6"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market cap</w:t>
            </w:r>
          </w:p>
        </w:tc>
        <w:tc>
          <w:tcPr>
            <w:tcW w:w="2042" w:type="dxa"/>
            <w:shd w:val="clear" w:color="auto" w:fill="00709E"/>
          </w:tcPr>
          <w:p w14:paraId="69C0F615" w14:textId="0D7BF2D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market cap. in top 10 most heavily capitali</w:t>
            </w:r>
            <w:r w:rsidR="00A6547F">
              <w:rPr>
                <w:rFonts w:ascii="Arial" w:hAnsi="Arial" w:cs="Arial"/>
                <w:b/>
                <w:color w:val="FFFFFF"/>
                <w:sz w:val="16"/>
                <w:szCs w:val="16"/>
              </w:rPr>
              <w:t>s</w:t>
            </w:r>
            <w:r w:rsidRPr="00490F9F">
              <w:rPr>
                <w:rFonts w:ascii="Arial" w:hAnsi="Arial" w:cs="Arial"/>
                <w:b/>
                <w:color w:val="FFFFFF"/>
                <w:sz w:val="16"/>
                <w:szCs w:val="16"/>
              </w:rPr>
              <w:t>ed companies</w:t>
            </w:r>
          </w:p>
        </w:tc>
      </w:tr>
      <w:tr w:rsidR="004146D2" w:rsidRPr="00490F9F" w14:paraId="278D3EE6" w14:textId="77777777" w:rsidTr="0001525E">
        <w:tc>
          <w:tcPr>
            <w:tcW w:w="1899" w:type="dxa"/>
          </w:tcPr>
          <w:p w14:paraId="597FC3E6"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899" w:type="dxa"/>
          </w:tcPr>
          <w:p w14:paraId="158B4492"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900" w:type="dxa"/>
            <w:vAlign w:val="center"/>
          </w:tcPr>
          <w:p w14:paraId="1AD24BBD"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75,000</w:t>
            </w:r>
          </w:p>
        </w:tc>
        <w:tc>
          <w:tcPr>
            <w:tcW w:w="1899" w:type="dxa"/>
          </w:tcPr>
          <w:p w14:paraId="10B05C11"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500,000</w:t>
            </w:r>
          </w:p>
        </w:tc>
        <w:tc>
          <w:tcPr>
            <w:tcW w:w="2042" w:type="dxa"/>
          </w:tcPr>
          <w:p w14:paraId="58C8B9D0"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15.0%</w:t>
            </w:r>
          </w:p>
        </w:tc>
      </w:tr>
    </w:tbl>
    <w:p w14:paraId="70B2CB54" w14:textId="77777777" w:rsidR="004146D2" w:rsidRPr="00490F9F" w:rsidRDefault="004146D2" w:rsidP="00E91CD3">
      <w:pPr>
        <w:suppressAutoHyphens/>
        <w:spacing w:after="0" w:line="240" w:lineRule="auto"/>
        <w:jc w:val="both"/>
        <w:rPr>
          <w:rFonts w:ascii="Arial" w:hAnsi="Arial" w:cs="Arial"/>
          <w:spacing w:val="-3"/>
          <w:sz w:val="20"/>
        </w:rPr>
      </w:pPr>
    </w:p>
    <w:p w14:paraId="162F4430" w14:textId="77777777"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turnover value in top 10 most traded companies)</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899"/>
        <w:gridCol w:w="1900"/>
        <w:gridCol w:w="1899"/>
        <w:gridCol w:w="2042"/>
      </w:tblGrid>
      <w:tr w:rsidR="004146D2" w:rsidRPr="00490F9F" w14:paraId="6B9967E4" w14:textId="77777777" w:rsidTr="0001525E">
        <w:tc>
          <w:tcPr>
            <w:tcW w:w="1899" w:type="dxa"/>
            <w:shd w:val="clear" w:color="auto" w:fill="00709E"/>
            <w:vAlign w:val="center"/>
          </w:tcPr>
          <w:p w14:paraId="7335C7CC"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899" w:type="dxa"/>
            <w:shd w:val="clear" w:color="auto" w:fill="00709E"/>
            <w:vAlign w:val="center"/>
          </w:tcPr>
          <w:p w14:paraId="713EC2A2"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Top 10 listed  domestic </w:t>
            </w:r>
            <w:r>
              <w:rPr>
                <w:rFonts w:ascii="Arial" w:hAnsi="Arial" w:cs="Arial"/>
                <w:b/>
                <w:color w:val="FFFFFF"/>
                <w:sz w:val="16"/>
                <w:szCs w:val="16"/>
              </w:rPr>
              <w:t xml:space="preserve">companies </w:t>
            </w:r>
            <w:r w:rsidRPr="00490F9F">
              <w:rPr>
                <w:rFonts w:ascii="Arial" w:hAnsi="Arial" w:cs="Arial"/>
                <w:b/>
                <w:color w:val="FFFFFF"/>
                <w:sz w:val="16"/>
                <w:szCs w:val="16"/>
              </w:rPr>
              <w:t xml:space="preserve">by turnover </w:t>
            </w:r>
          </w:p>
        </w:tc>
        <w:tc>
          <w:tcPr>
            <w:tcW w:w="1900" w:type="dxa"/>
            <w:shd w:val="clear" w:color="auto" w:fill="00709E"/>
            <w:vAlign w:val="center"/>
          </w:tcPr>
          <w:p w14:paraId="0FBDC5D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Turnover value of the top 10 companies (USD m)</w:t>
            </w:r>
          </w:p>
        </w:tc>
        <w:tc>
          <w:tcPr>
            <w:tcW w:w="1899" w:type="dxa"/>
            <w:shd w:val="clear" w:color="auto" w:fill="00709E"/>
            <w:vAlign w:val="center"/>
          </w:tcPr>
          <w:p w14:paraId="7E5BFF8D"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turnover</w:t>
            </w:r>
          </w:p>
        </w:tc>
        <w:tc>
          <w:tcPr>
            <w:tcW w:w="2042" w:type="dxa"/>
            <w:shd w:val="clear" w:color="auto" w:fill="00709E"/>
            <w:vAlign w:val="center"/>
          </w:tcPr>
          <w:p w14:paraId="2A67CFBE"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turnover value in top 10 most traded companies</w:t>
            </w:r>
          </w:p>
        </w:tc>
      </w:tr>
      <w:tr w:rsidR="004146D2" w:rsidRPr="00490F9F" w14:paraId="52876BFC" w14:textId="77777777" w:rsidTr="0001525E">
        <w:tc>
          <w:tcPr>
            <w:tcW w:w="1899" w:type="dxa"/>
            <w:vAlign w:val="center"/>
          </w:tcPr>
          <w:p w14:paraId="773374AF"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899" w:type="dxa"/>
            <w:vAlign w:val="center"/>
          </w:tcPr>
          <w:p w14:paraId="0C105C48"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900" w:type="dxa"/>
            <w:vAlign w:val="center"/>
          </w:tcPr>
          <w:p w14:paraId="6AB0EFA0"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25,000</w:t>
            </w:r>
          </w:p>
        </w:tc>
        <w:tc>
          <w:tcPr>
            <w:tcW w:w="1899" w:type="dxa"/>
            <w:vAlign w:val="center"/>
          </w:tcPr>
          <w:p w14:paraId="20E5B32E"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85,000</w:t>
            </w:r>
          </w:p>
        </w:tc>
        <w:tc>
          <w:tcPr>
            <w:tcW w:w="2042" w:type="dxa"/>
            <w:vAlign w:val="center"/>
          </w:tcPr>
          <w:p w14:paraId="2717AE53"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29.4%</w:t>
            </w:r>
          </w:p>
        </w:tc>
      </w:tr>
    </w:tbl>
    <w:p w14:paraId="5FCB6380" w14:textId="77777777" w:rsidR="006F4B91" w:rsidRDefault="006F4B91" w:rsidP="00E91CD3">
      <w:pPr>
        <w:spacing w:after="0" w:line="240" w:lineRule="auto"/>
        <w:rPr>
          <w:rFonts w:ascii="Arial" w:eastAsia="Times New Roman" w:hAnsi="Arial" w:cs="Arial"/>
          <w:b/>
          <w:snapToGrid w:val="0"/>
          <w:spacing w:val="-3"/>
          <w:szCs w:val="20"/>
          <w:lang w:eastAsia="fr-FR"/>
        </w:rPr>
      </w:pPr>
    </w:p>
    <w:p w14:paraId="1DBD39E7" w14:textId="02FA84F5" w:rsidR="00B60AB8" w:rsidRDefault="00152FE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B60AB8">
        <w:rPr>
          <w:rFonts w:ascii="Arial" w:eastAsia="Times New Roman" w:hAnsi="Arial" w:cs="Arial"/>
          <w:b/>
          <w:snapToGrid w:val="0"/>
          <w:spacing w:val="-3"/>
          <w:szCs w:val="20"/>
          <w:lang w:eastAsia="fr-FR"/>
        </w:rPr>
        <w:t>Number of trading participants</w:t>
      </w:r>
    </w:p>
    <w:p w14:paraId="64244881" w14:textId="77777777" w:rsidR="00925973" w:rsidRDefault="00925973" w:rsidP="00E91CD3">
      <w:pPr>
        <w:spacing w:after="0" w:line="240" w:lineRule="auto"/>
        <w:jc w:val="both"/>
        <w:rPr>
          <w:rFonts w:ascii="Arial" w:eastAsia="Times New Roman" w:hAnsi="Arial" w:cs="Arial"/>
          <w:snapToGrid w:val="0"/>
          <w:spacing w:val="-3"/>
          <w:sz w:val="20"/>
          <w:szCs w:val="20"/>
          <w:lang w:eastAsia="fr-FR"/>
        </w:rPr>
      </w:pPr>
    </w:p>
    <w:p w14:paraId="6C22469A" w14:textId="2B07C52E" w:rsidR="00B60AB8" w:rsidRPr="00B60AB8" w:rsidRDefault="00B60AB8" w:rsidP="00E91CD3">
      <w:pPr>
        <w:spacing w:after="0" w:line="240" w:lineRule="auto"/>
        <w:jc w:val="both"/>
        <w:rPr>
          <w:rFonts w:ascii="Arial" w:eastAsia="Times New Roman" w:hAnsi="Arial" w:cs="Arial"/>
          <w:snapToGrid w:val="0"/>
          <w:spacing w:val="-3"/>
          <w:szCs w:val="20"/>
          <w:lang w:eastAsia="fr-FR"/>
        </w:rPr>
      </w:pPr>
      <w:r w:rsidRPr="00B60AB8">
        <w:rPr>
          <w:rFonts w:ascii="Arial" w:eastAsia="Times New Roman" w:hAnsi="Arial" w:cs="Arial"/>
          <w:snapToGrid w:val="0"/>
          <w:spacing w:val="-3"/>
          <w:sz w:val="20"/>
          <w:szCs w:val="20"/>
          <w:lang w:eastAsia="fr-FR"/>
        </w:rPr>
        <w:t>Trading participants are the number of dealers, brokers, brokers-dealers, and individuals acting as principals who trade on the exchange through direct access to the trading system. Clearing and settlement members are excluded. Several branches of a same organization have the right to apply as trading member to an exchange, and each license is computed as one trading participant. For example, if two branches belonging to the same organization apply as trading members, they are counted as two trading participants.</w:t>
      </w:r>
    </w:p>
    <w:p w14:paraId="20598EA6" w14:textId="77777777" w:rsidR="00925973" w:rsidRDefault="00925973" w:rsidP="00E91CD3">
      <w:pPr>
        <w:spacing w:after="0" w:line="240" w:lineRule="auto"/>
        <w:rPr>
          <w:rFonts w:ascii="Arial" w:eastAsia="Times New Roman" w:hAnsi="Arial" w:cs="Arial"/>
          <w:b/>
          <w:snapToGrid w:val="0"/>
          <w:spacing w:val="-3"/>
          <w:szCs w:val="20"/>
          <w:lang w:eastAsia="fr-FR"/>
        </w:rPr>
      </w:pPr>
    </w:p>
    <w:p w14:paraId="242E9E10" w14:textId="44F5AF79" w:rsidR="00F47EED" w:rsidRPr="00943CC6" w:rsidRDefault="000D22DA"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47EED">
        <w:rPr>
          <w:rFonts w:ascii="Arial" w:eastAsia="Times New Roman" w:hAnsi="Arial" w:cs="Arial"/>
          <w:b/>
          <w:snapToGrid w:val="0"/>
          <w:spacing w:val="-3"/>
          <w:szCs w:val="20"/>
          <w:lang w:eastAsia="fr-FR"/>
        </w:rPr>
        <w:t>Share Turnover Velocity</w:t>
      </w:r>
    </w:p>
    <w:p w14:paraId="04397345" w14:textId="77777777" w:rsidR="00925973"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i/>
          <w:iCs/>
          <w:spacing w:val="-3"/>
          <w:sz w:val="20"/>
          <w:u w:val="single"/>
        </w:rPr>
      </w:pPr>
    </w:p>
    <w:p w14:paraId="2B72A31B" w14:textId="26C23A0B"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i/>
          <w:iCs/>
          <w:spacing w:val="-3"/>
          <w:sz w:val="20"/>
          <w:u w:val="single"/>
        </w:rPr>
      </w:pPr>
      <w:r w:rsidRPr="00490F9F">
        <w:rPr>
          <w:rFonts w:ascii="Arial" w:hAnsi="Arial" w:cs="Arial"/>
          <w:i/>
          <w:iCs/>
          <w:spacing w:val="-3"/>
          <w:sz w:val="20"/>
          <w:u w:val="single"/>
        </w:rPr>
        <w:t xml:space="preserve">Definition </w:t>
      </w:r>
    </w:p>
    <w:p w14:paraId="67E80DBC" w14:textId="007D508E" w:rsidR="00F47EED" w:rsidRPr="00490F9F" w:rsidRDefault="00F47EED"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turnover velocity is the ratio between the </w:t>
      </w:r>
      <w:r w:rsidR="00FA680B" w:rsidRPr="0037183B">
        <w:rPr>
          <w:rFonts w:ascii="Arial" w:hAnsi="Arial" w:cs="Arial"/>
          <w:color w:val="1F3864" w:themeColor="accent1" w:themeShade="80"/>
          <w:sz w:val="20"/>
          <w:szCs w:val="20"/>
          <w:u w:val="single"/>
        </w:rPr>
        <w:fldChar w:fldCharType="begin"/>
      </w:r>
      <w:r w:rsidR="00FA680B" w:rsidRPr="0037183B">
        <w:rPr>
          <w:rFonts w:ascii="Arial" w:hAnsi="Arial" w:cs="Arial"/>
          <w:color w:val="1F3864" w:themeColor="accent1" w:themeShade="80"/>
          <w:sz w:val="20"/>
          <w:szCs w:val="20"/>
          <w:u w:val="single"/>
        </w:rPr>
        <w:instrText xml:space="preserve"> REF _Ref13572577 \h </w:instrText>
      </w:r>
      <w:r w:rsidR="00FA680B">
        <w:rPr>
          <w:rFonts w:ascii="Arial" w:hAnsi="Arial" w:cs="Arial"/>
          <w:color w:val="1F3864" w:themeColor="accent1" w:themeShade="80"/>
          <w:sz w:val="20"/>
          <w:szCs w:val="20"/>
          <w:u w:val="single"/>
        </w:rPr>
        <w:instrText xml:space="preserve"> \* MERGEFORMAT </w:instrText>
      </w:r>
      <w:r w:rsidR="00FA680B" w:rsidRPr="0037183B">
        <w:rPr>
          <w:rFonts w:ascii="Arial" w:hAnsi="Arial" w:cs="Arial"/>
          <w:color w:val="1F3864" w:themeColor="accent1" w:themeShade="80"/>
          <w:sz w:val="20"/>
          <w:szCs w:val="20"/>
          <w:u w:val="single"/>
        </w:rPr>
      </w:r>
      <w:r w:rsidR="00FA680B"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00FA680B" w:rsidRPr="0037183B">
        <w:rPr>
          <w:rFonts w:ascii="Arial" w:hAnsi="Arial" w:cs="Arial"/>
          <w:color w:val="1F3864" w:themeColor="accent1" w:themeShade="80"/>
          <w:sz w:val="20"/>
          <w:szCs w:val="20"/>
          <w:u w:val="single"/>
        </w:rPr>
        <w:fldChar w:fldCharType="end"/>
      </w:r>
      <w:r w:rsidR="00FA680B">
        <w:rPr>
          <w:rFonts w:ascii="Arial" w:hAnsi="Arial" w:cs="Arial"/>
          <w:color w:val="1F3864" w:themeColor="accent1" w:themeShade="80"/>
          <w:sz w:val="20"/>
          <w:szCs w:val="20"/>
          <w:u w:val="single"/>
        </w:rPr>
        <w:t xml:space="preserve"> </w:t>
      </w:r>
      <w:r>
        <w:rPr>
          <w:rFonts w:ascii="Arial" w:hAnsi="Arial" w:cs="Arial"/>
          <w:spacing w:val="-3"/>
          <w:sz w:val="20"/>
        </w:rPr>
        <w:t>value traded</w:t>
      </w:r>
      <w:r w:rsidRPr="00490F9F">
        <w:rPr>
          <w:rFonts w:ascii="Arial" w:hAnsi="Arial" w:cs="Arial"/>
          <w:spacing w:val="-3"/>
          <w:sz w:val="20"/>
        </w:rPr>
        <w:t xml:space="preserve"> </w:t>
      </w:r>
      <w:r w:rsidRPr="00A55E94">
        <w:rPr>
          <w:rFonts w:ascii="Arial" w:hAnsi="Arial" w:cs="Arial"/>
          <w:spacing w:val="-3"/>
          <w:sz w:val="20"/>
          <w:szCs w:val="20"/>
        </w:rPr>
        <w:t xml:space="preserve">of </w:t>
      </w:r>
      <w:r w:rsidR="00CF79EE" w:rsidRPr="00A55E94">
        <w:rPr>
          <w:rFonts w:ascii="Arial" w:eastAsia="Times New Roman" w:hAnsi="Arial" w:cs="Arial"/>
          <w:snapToGrid w:val="0"/>
          <w:color w:val="002060"/>
          <w:sz w:val="20"/>
          <w:szCs w:val="20"/>
          <w:u w:val="single"/>
          <w:lang w:eastAsia="fr-FR"/>
        </w:rPr>
        <w:fldChar w:fldCharType="begin"/>
      </w:r>
      <w:r w:rsidR="00CF79EE" w:rsidRPr="00A55E94">
        <w:rPr>
          <w:rFonts w:ascii="Arial" w:eastAsia="Times New Roman" w:hAnsi="Arial" w:cs="Arial"/>
          <w:snapToGrid w:val="0"/>
          <w:color w:val="002060"/>
          <w:sz w:val="20"/>
          <w:szCs w:val="20"/>
          <w:u w:val="single"/>
          <w:lang w:eastAsia="fr-FR"/>
        </w:rPr>
        <w:instrText xml:space="preserve"> REF _Ref13563231 \h  \* MERGEFORMAT </w:instrText>
      </w:r>
      <w:r w:rsidR="00CF79EE" w:rsidRPr="00A55E94">
        <w:rPr>
          <w:rFonts w:ascii="Arial" w:eastAsia="Times New Roman" w:hAnsi="Arial" w:cs="Arial"/>
          <w:snapToGrid w:val="0"/>
          <w:color w:val="002060"/>
          <w:sz w:val="20"/>
          <w:szCs w:val="20"/>
          <w:u w:val="single"/>
          <w:lang w:eastAsia="fr-FR"/>
        </w:rPr>
      </w:r>
      <w:r w:rsidR="00CF79EE"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and their market capitalisation. The value is annualised by multiplying the monthly</w:t>
      </w:r>
      <w:r w:rsidRPr="00490F9F">
        <w:rPr>
          <w:rFonts w:ascii="Arial" w:hAnsi="Arial" w:cs="Arial"/>
          <w:spacing w:val="-3"/>
          <w:sz w:val="20"/>
        </w:rPr>
        <w:t xml:space="preserve"> average by 12, according to the following formula:</w:t>
      </w:r>
    </w:p>
    <w:p w14:paraId="4C63D7B6" w14:textId="77777777"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2D5748F8" w14:textId="77777777"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w:hAnsi="Arial" w:cs="Arial"/>
          <w:spacing w:val="-3"/>
          <w:sz w:val="20"/>
        </w:rPr>
      </w:pPr>
      <w:r>
        <w:rPr>
          <w:rFonts w:ascii="Arial" w:hAnsi="Arial" w:cs="Arial"/>
          <w:spacing w:val="-3"/>
          <w:sz w:val="20"/>
          <w:u w:val="single"/>
        </w:rPr>
        <w:tab/>
        <w:t xml:space="preserve">            </w:t>
      </w:r>
      <w:r w:rsidRPr="00490F9F">
        <w:rPr>
          <w:rFonts w:ascii="Arial" w:hAnsi="Arial" w:cs="Arial"/>
          <w:spacing w:val="-3"/>
          <w:sz w:val="20"/>
          <w:u w:val="single"/>
        </w:rPr>
        <w:t>Monthly EOB d</w:t>
      </w:r>
      <w:r w:rsidRPr="00490F9F">
        <w:rPr>
          <w:rFonts w:ascii="Arial" w:hAnsi="Arial" w:cs="Arial"/>
          <w:bCs/>
          <w:spacing w:val="-3"/>
          <w:sz w:val="20"/>
          <w:u w:val="single"/>
        </w:rPr>
        <w:t>omestic</w:t>
      </w:r>
      <w:r w:rsidRPr="00490F9F">
        <w:rPr>
          <w:rFonts w:ascii="Arial" w:hAnsi="Arial" w:cs="Arial"/>
          <w:spacing w:val="-3"/>
          <w:sz w:val="20"/>
          <w:u w:val="single"/>
        </w:rPr>
        <w:t xml:space="preserve"> share turnover                 </w:t>
      </w:r>
      <w:r w:rsidRPr="00490F9F">
        <w:rPr>
          <w:rFonts w:ascii="Arial" w:hAnsi="Arial" w:cs="Arial"/>
          <w:spacing w:val="-3"/>
          <w:sz w:val="20"/>
        </w:rPr>
        <w:t xml:space="preserve"> X 12</w:t>
      </w:r>
    </w:p>
    <w:p w14:paraId="0897227F" w14:textId="77777777"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490F9F">
        <w:rPr>
          <w:rFonts w:ascii="Arial" w:hAnsi="Arial" w:cs="Arial"/>
          <w:spacing w:val="-3"/>
          <w:sz w:val="20"/>
        </w:rPr>
        <w:t>Month-end</w:t>
      </w:r>
      <w:r w:rsidRPr="00490F9F">
        <w:rPr>
          <w:rFonts w:ascii="Arial" w:hAnsi="Arial" w:cs="Arial"/>
          <w:b/>
          <w:spacing w:val="-3"/>
          <w:sz w:val="20"/>
        </w:rPr>
        <w:t xml:space="preserve"> </w:t>
      </w:r>
      <w:r w:rsidRPr="00490F9F">
        <w:rPr>
          <w:rFonts w:ascii="Arial" w:hAnsi="Arial" w:cs="Arial"/>
          <w:spacing w:val="-3"/>
          <w:sz w:val="20"/>
        </w:rPr>
        <w:t>d</w:t>
      </w:r>
      <w:r w:rsidRPr="00490F9F">
        <w:rPr>
          <w:rFonts w:ascii="Arial" w:hAnsi="Arial" w:cs="Arial"/>
          <w:bCs/>
          <w:spacing w:val="-3"/>
          <w:sz w:val="20"/>
        </w:rPr>
        <w:t>omestic m</w:t>
      </w:r>
      <w:r w:rsidRPr="00490F9F">
        <w:rPr>
          <w:rFonts w:ascii="Arial" w:hAnsi="Arial" w:cs="Arial"/>
          <w:spacing w:val="-3"/>
          <w:sz w:val="20"/>
        </w:rPr>
        <w:t>arket capitalisation</w:t>
      </w:r>
    </w:p>
    <w:p w14:paraId="291311CB" w14:textId="77777777" w:rsidR="00F47EED" w:rsidRDefault="00F47EED" w:rsidP="00E91CD3">
      <w:pPr>
        <w:suppressAutoHyphens/>
        <w:spacing w:after="0" w:line="240" w:lineRule="auto"/>
        <w:jc w:val="both"/>
        <w:rPr>
          <w:rFonts w:ascii="Arial" w:hAnsi="Arial" w:cs="Arial"/>
          <w:bCs/>
          <w:i/>
          <w:sz w:val="20"/>
          <w:u w:val="single"/>
        </w:rPr>
      </w:pPr>
    </w:p>
    <w:p w14:paraId="0EE0171F" w14:textId="77777777" w:rsidR="006A5DB9" w:rsidRDefault="006A5DB9">
      <w:pPr>
        <w:rPr>
          <w:rFonts w:ascii="Arial" w:hAnsi="Arial" w:cs="Arial"/>
          <w:bCs/>
          <w:i/>
          <w:sz w:val="20"/>
          <w:u w:val="single"/>
        </w:rPr>
      </w:pPr>
      <w:r>
        <w:rPr>
          <w:rFonts w:ascii="Arial" w:hAnsi="Arial" w:cs="Arial"/>
          <w:bCs/>
          <w:i/>
          <w:sz w:val="20"/>
          <w:u w:val="single"/>
        </w:rPr>
        <w:br w:type="page"/>
      </w:r>
    </w:p>
    <w:p w14:paraId="5B9E604D" w14:textId="66A2CEB0" w:rsidR="00F47EED" w:rsidRPr="00490F9F" w:rsidRDefault="00F47EED"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lastRenderedPageBreak/>
        <w:t>Example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3235"/>
        <w:gridCol w:w="3237"/>
        <w:gridCol w:w="3167"/>
      </w:tblGrid>
      <w:tr w:rsidR="00F47EED" w:rsidRPr="00490F9F" w14:paraId="095B0C7B" w14:textId="77777777" w:rsidTr="0001525E">
        <w:tc>
          <w:tcPr>
            <w:tcW w:w="3235" w:type="dxa"/>
            <w:shd w:val="clear" w:color="auto" w:fill="00709E"/>
            <w:vAlign w:val="center"/>
          </w:tcPr>
          <w:p w14:paraId="65E155B8"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Monthly domestic share turnover</w:t>
            </w:r>
          </w:p>
          <w:p w14:paraId="10A25554"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(USD m)</w:t>
            </w:r>
          </w:p>
        </w:tc>
        <w:tc>
          <w:tcPr>
            <w:tcW w:w="3237" w:type="dxa"/>
            <w:shd w:val="clear" w:color="auto" w:fill="00709E"/>
            <w:vAlign w:val="center"/>
          </w:tcPr>
          <w:p w14:paraId="3EB0370E"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Monthly domestic market cap</w:t>
            </w:r>
          </w:p>
          <w:p w14:paraId="093CEF21"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(USD m)</w:t>
            </w:r>
          </w:p>
        </w:tc>
        <w:tc>
          <w:tcPr>
            <w:tcW w:w="3167" w:type="dxa"/>
            <w:shd w:val="clear" w:color="auto" w:fill="00709E"/>
            <w:vAlign w:val="center"/>
          </w:tcPr>
          <w:p w14:paraId="01AE6CB4"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Annualized turnover velocity</w:t>
            </w:r>
          </w:p>
          <w:p w14:paraId="1B8CF336"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(simple average * 12)</w:t>
            </w:r>
          </w:p>
        </w:tc>
      </w:tr>
      <w:tr w:rsidR="00F47EED" w:rsidRPr="00490F9F" w14:paraId="7A5AD1DD" w14:textId="77777777" w:rsidTr="0001525E">
        <w:tc>
          <w:tcPr>
            <w:tcW w:w="3235" w:type="dxa"/>
          </w:tcPr>
          <w:p w14:paraId="04FA7519" w14:textId="77777777" w:rsidR="00F47EED" w:rsidRPr="00490F9F" w:rsidRDefault="00F47EED" w:rsidP="00E91CD3">
            <w:pPr>
              <w:spacing w:after="0" w:line="240" w:lineRule="auto"/>
              <w:jc w:val="center"/>
              <w:rPr>
                <w:rFonts w:ascii="Arial" w:hAnsi="Arial" w:cs="Arial"/>
                <w:sz w:val="16"/>
                <w:szCs w:val="16"/>
              </w:rPr>
            </w:pPr>
            <w:r w:rsidRPr="00490F9F">
              <w:rPr>
                <w:rFonts w:ascii="Arial" w:hAnsi="Arial" w:cs="Arial"/>
                <w:sz w:val="16"/>
                <w:szCs w:val="16"/>
              </w:rPr>
              <w:t>2,800.0</w:t>
            </w:r>
          </w:p>
        </w:tc>
        <w:tc>
          <w:tcPr>
            <w:tcW w:w="3237" w:type="dxa"/>
          </w:tcPr>
          <w:p w14:paraId="176AEC38" w14:textId="77777777" w:rsidR="00F47EED" w:rsidRPr="00490F9F" w:rsidRDefault="00F47EED" w:rsidP="00E91CD3">
            <w:pPr>
              <w:spacing w:after="0" w:line="240" w:lineRule="auto"/>
              <w:jc w:val="center"/>
              <w:rPr>
                <w:rFonts w:ascii="Arial" w:hAnsi="Arial" w:cs="Arial"/>
                <w:sz w:val="16"/>
                <w:szCs w:val="16"/>
              </w:rPr>
            </w:pPr>
            <w:r w:rsidRPr="00490F9F">
              <w:rPr>
                <w:rFonts w:ascii="Arial" w:hAnsi="Arial" w:cs="Arial"/>
                <w:sz w:val="16"/>
                <w:szCs w:val="16"/>
              </w:rPr>
              <w:t>77,540.0</w:t>
            </w:r>
          </w:p>
        </w:tc>
        <w:tc>
          <w:tcPr>
            <w:tcW w:w="3167" w:type="dxa"/>
            <w:vAlign w:val="center"/>
          </w:tcPr>
          <w:p w14:paraId="7BF4D34B" w14:textId="77777777" w:rsidR="00F47EED" w:rsidRPr="00490F9F" w:rsidRDefault="00F47EED" w:rsidP="00E91CD3">
            <w:pPr>
              <w:spacing w:after="0" w:line="240" w:lineRule="auto"/>
              <w:jc w:val="center"/>
              <w:rPr>
                <w:rFonts w:ascii="Arial" w:hAnsi="Arial" w:cs="Arial"/>
                <w:sz w:val="16"/>
                <w:szCs w:val="16"/>
              </w:rPr>
            </w:pPr>
            <w:r w:rsidRPr="00490F9F">
              <w:rPr>
                <w:rFonts w:ascii="Arial" w:hAnsi="Arial" w:cs="Arial"/>
                <w:sz w:val="16"/>
                <w:szCs w:val="16"/>
              </w:rPr>
              <w:t>43.3%</w:t>
            </w:r>
          </w:p>
        </w:tc>
      </w:tr>
    </w:tbl>
    <w:p w14:paraId="7862E547" w14:textId="12F7D4CB" w:rsidR="00A82553"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F0FDEBE" w14:textId="478579EA" w:rsidR="004A0EF6" w:rsidRPr="004A0EF6" w:rsidRDefault="004A0EF6" w:rsidP="006A5DB9">
      <w:pPr>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Number of listed domestic co. with share listed distributing dividends during the year</w:t>
      </w:r>
    </w:p>
    <w:p w14:paraId="0EE0F5DE" w14:textId="45139849" w:rsidR="004A0EF6" w:rsidRPr="004A0EF6" w:rsidRDefault="004A0EF6" w:rsidP="003775B8">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 xml:space="preserve">Total amount of net dividend paid during the year </w:t>
      </w:r>
    </w:p>
    <w:p w14:paraId="67450D21" w14:textId="4C7C1E3A" w:rsidR="004A0EF6" w:rsidRP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Total amount of gross dividend paid during the year</w:t>
      </w:r>
    </w:p>
    <w:p w14:paraId="5F158FC4" w14:textId="198A2514" w:rsidR="004A0EF6" w:rsidRP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Gross dividend yield</w:t>
      </w:r>
    </w:p>
    <w:p w14:paraId="7103C904" w14:textId="531FE6DF" w:rsid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Net dividend yield</w:t>
      </w:r>
    </w:p>
    <w:p w14:paraId="09E8C870"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hAnsi="Arial" w:cs="Arial"/>
          <w:sz w:val="20"/>
        </w:rPr>
      </w:pPr>
    </w:p>
    <w:p w14:paraId="6E535101" w14:textId="4358FD73" w:rsid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Dividends distributed by </w:t>
      </w:r>
      <w:r w:rsidR="00BD1ECB" w:rsidRPr="00BD1ECB">
        <w:rPr>
          <w:rFonts w:ascii="Arial" w:hAnsi="Arial" w:cs="Arial"/>
          <w:color w:val="1F3864" w:themeColor="accent1" w:themeShade="80"/>
          <w:sz w:val="20"/>
          <w:szCs w:val="20"/>
          <w:u w:val="single"/>
        </w:rPr>
        <w:fldChar w:fldCharType="begin"/>
      </w:r>
      <w:r w:rsidR="00BD1ECB" w:rsidRPr="00BD1ECB">
        <w:rPr>
          <w:rFonts w:ascii="Arial" w:hAnsi="Arial" w:cs="Arial"/>
          <w:color w:val="1F3864" w:themeColor="accent1" w:themeShade="80"/>
          <w:sz w:val="20"/>
          <w:szCs w:val="20"/>
          <w:u w:val="single"/>
        </w:rPr>
        <w:instrText xml:space="preserve"> REF _Ref13563231 \h </w:instrText>
      </w:r>
      <w:r w:rsidR="00BD1ECB">
        <w:rPr>
          <w:rFonts w:ascii="Arial" w:hAnsi="Arial" w:cs="Arial"/>
          <w:color w:val="1F3864" w:themeColor="accent1" w:themeShade="80"/>
          <w:sz w:val="20"/>
          <w:szCs w:val="20"/>
          <w:u w:val="single"/>
        </w:rPr>
        <w:instrText xml:space="preserve"> \* MERGEFORMAT </w:instrText>
      </w:r>
      <w:r w:rsidR="00BD1ECB" w:rsidRPr="00BD1ECB">
        <w:rPr>
          <w:rFonts w:ascii="Arial" w:hAnsi="Arial" w:cs="Arial"/>
          <w:color w:val="1F3864" w:themeColor="accent1" w:themeShade="80"/>
          <w:sz w:val="20"/>
          <w:szCs w:val="20"/>
          <w:u w:val="single"/>
        </w:rPr>
      </w:r>
      <w:r w:rsidR="00BD1ECB" w:rsidRPr="00BD1EC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Domestic Companies</w:t>
      </w:r>
      <w:r w:rsidR="00BD1ECB" w:rsidRPr="00BD1ECB">
        <w:rPr>
          <w:rFonts w:ascii="Arial" w:hAnsi="Arial" w:cs="Arial"/>
          <w:color w:val="1F3864" w:themeColor="accent1" w:themeShade="80"/>
          <w:sz w:val="20"/>
          <w:szCs w:val="20"/>
          <w:u w:val="single"/>
        </w:rPr>
        <w:fldChar w:fldCharType="end"/>
      </w:r>
      <w:r>
        <w:rPr>
          <w:rFonts w:ascii="Arial" w:hAnsi="Arial" w:cs="Arial"/>
          <w:sz w:val="20"/>
        </w:rPr>
        <w:t>, indicated in this table, cover ordinary and special cash dividends. In case that a company has been delisted during the year but has paid a dividend during the period, it is included in the numbers.</w:t>
      </w:r>
    </w:p>
    <w:p w14:paraId="33B78D3D"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29DB392A" w14:textId="425E38D8" w:rsidR="00F83E97"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The gross and net dividend yields are calculated by dividing the total amount of dividends paid by the whole domestic market capitalisation of the market segment concerned. The gross dividend paid and its related yield are calculated before investor income tax payment on dividend earned; the net dividend paid and its related yield are calculated after tax.</w:t>
      </w:r>
    </w:p>
    <w:p w14:paraId="03293863"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p>
    <w:p w14:paraId="76DE9AA1" w14:textId="23B21DAD" w:rsidR="00E50C0E" w:rsidRPr="002B27C4" w:rsidRDefault="00A74D9F"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B27C4">
        <w:rPr>
          <w:rFonts w:ascii="Arial" w:eastAsia="Times New Roman" w:hAnsi="Arial" w:cs="Arial"/>
          <w:b/>
          <w:snapToGrid w:val="0"/>
          <w:spacing w:val="-3"/>
          <w:szCs w:val="20"/>
          <w:lang w:eastAsia="fr-FR"/>
        </w:rPr>
        <w:t>Average of the market Price/</w:t>
      </w:r>
      <w:proofErr w:type="spellStart"/>
      <w:r w:rsidRPr="002B27C4">
        <w:rPr>
          <w:rFonts w:ascii="Arial" w:eastAsia="Times New Roman" w:hAnsi="Arial" w:cs="Arial"/>
          <w:b/>
          <w:snapToGrid w:val="0"/>
          <w:spacing w:val="-3"/>
          <w:szCs w:val="20"/>
          <w:lang w:eastAsia="fr-FR"/>
        </w:rPr>
        <w:t>Earning</w:t>
      </w:r>
      <w:proofErr w:type="spellEnd"/>
      <w:r w:rsidRPr="002B27C4">
        <w:rPr>
          <w:rFonts w:ascii="Arial" w:eastAsia="Times New Roman" w:hAnsi="Arial" w:cs="Arial"/>
          <w:b/>
          <w:snapToGrid w:val="0"/>
          <w:spacing w:val="-3"/>
          <w:szCs w:val="20"/>
          <w:lang w:eastAsia="fr-FR"/>
        </w:rPr>
        <w:t xml:space="preserve"> Ratio (PER) at year-end</w:t>
      </w:r>
    </w:p>
    <w:p w14:paraId="3DDE6A11"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54DF08A6" w14:textId="55680A0D" w:rsidR="00E50C0E"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szCs w:val="20"/>
        </w:rPr>
      </w:pPr>
      <w:r w:rsidRPr="3E0C9D40">
        <w:rPr>
          <w:rFonts w:ascii="Arial" w:hAnsi="Arial" w:cs="Arial"/>
          <w:sz w:val="20"/>
          <w:szCs w:val="20"/>
        </w:rPr>
        <w:t xml:space="preserve">The PER is calculated by dividing the market capitalisation by the total market earnings. It </w:t>
      </w:r>
      <w:r w:rsidR="70D8A46B" w:rsidRPr="3E0C9D40">
        <w:rPr>
          <w:rFonts w:ascii="Arial" w:hAnsi="Arial" w:cs="Arial"/>
          <w:sz w:val="20"/>
          <w:szCs w:val="20"/>
        </w:rPr>
        <w:t>all stocks listed and traded on the exchange, regardless of whether they make profit or losses</w:t>
      </w:r>
      <w:r w:rsidRPr="3E0C9D40">
        <w:rPr>
          <w:rFonts w:ascii="Arial" w:hAnsi="Arial" w:cs="Arial"/>
          <w:sz w:val="20"/>
          <w:szCs w:val="20"/>
        </w:rPr>
        <w:t>.</w:t>
      </w:r>
    </w:p>
    <w:p w14:paraId="182B01ED" w14:textId="77777777" w:rsidR="00925973"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2D5A4FC7" w14:textId="1897F1FC" w:rsidR="00E50C0E" w:rsidRPr="002B27C4"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t>Methodology</w:t>
      </w:r>
    </w:p>
    <w:p w14:paraId="7CB35CF5" w14:textId="22FCDD19" w:rsidR="00E50C0E" w:rsidRDefault="00E50C0E" w:rsidP="3E0C9D40">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szCs w:val="20"/>
        </w:rPr>
      </w:pPr>
      <w:r w:rsidRPr="3E0C9D40">
        <w:rPr>
          <w:rFonts w:ascii="Arial" w:hAnsi="Arial" w:cs="Arial"/>
          <w:spacing w:val="-3"/>
          <w:sz w:val="20"/>
          <w:szCs w:val="20"/>
        </w:rPr>
        <w:t xml:space="preserve">For company A, </w:t>
      </w:r>
      <w:proofErr w:type="gramStart"/>
      <w:r w:rsidRPr="3E0C9D40">
        <w:rPr>
          <w:rFonts w:ascii="Arial" w:hAnsi="Arial" w:cs="Arial"/>
          <w:spacing w:val="-3"/>
          <w:sz w:val="20"/>
          <w:szCs w:val="20"/>
        </w:rPr>
        <w:t>if  MV</w:t>
      </w:r>
      <w:proofErr w:type="gramEnd"/>
      <w:r w:rsidRPr="3E0C9D40">
        <w:rPr>
          <w:rFonts w:ascii="Arial" w:hAnsi="Arial" w:cs="Arial"/>
          <w:spacing w:val="-3"/>
          <w:sz w:val="20"/>
          <w:szCs w:val="20"/>
        </w:rPr>
        <w:t xml:space="preserve"> is the market value and E earnings </w:t>
      </w:r>
      <w:r w:rsidRPr="3E0C9D40">
        <w:rPr>
          <w:rFonts w:ascii="Arial" w:hAnsi="Arial" w:cs="Arial"/>
          <w:sz w:val="20"/>
          <w:szCs w:val="20"/>
        </w:rPr>
        <w:t>based on last published accounts</w:t>
      </w:r>
      <w:r w:rsidR="4912560C" w:rsidRPr="3E0C9D40">
        <w:rPr>
          <w:rFonts w:ascii="Arial" w:hAnsi="Arial" w:cs="Arial"/>
          <w:sz w:val="20"/>
          <w:szCs w:val="20"/>
        </w:rPr>
        <w:t xml:space="preserve"> (either annual earnings, or an estimation based on quarterly earnings)</w:t>
      </w:r>
      <w:r w:rsidRPr="3E0C9D40">
        <w:rPr>
          <w:rFonts w:ascii="Arial" w:hAnsi="Arial" w:cs="Arial"/>
          <w:sz w:val="20"/>
          <w:szCs w:val="20"/>
        </w:rPr>
        <w:t>, we have :</w:t>
      </w:r>
    </w:p>
    <w:p w14:paraId="080210C7" w14:textId="77777777" w:rsidR="00E50C0E"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w:hAnsi="Arial" w:cs="Arial"/>
          <w:spacing w:val="-3"/>
          <w:sz w:val="20"/>
        </w:rPr>
      </w:pPr>
      <w:r>
        <w:rPr>
          <w:rFonts w:ascii="Arial" w:eastAsia="Times New Roman" w:hAnsi="Arial" w:cs="Arial"/>
          <w:position w:val="-24"/>
          <w:sz w:val="20"/>
          <w:szCs w:val="20"/>
          <w:lang w:eastAsia="fr-FR"/>
        </w:rPr>
        <w:object w:dxaOrig="1335" w:dyaOrig="615" w14:anchorId="164DF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8.5pt" o:ole="">
            <v:imagedata r:id="rId13" o:title=""/>
          </v:shape>
          <o:OLEObject Type="Embed" ProgID="Equation.3" ShapeID="_x0000_i1025" DrawAspect="Content" ObjectID="_1679235474" r:id="rId14"/>
        </w:object>
      </w:r>
      <w:r>
        <w:rPr>
          <w:rFonts w:ascii="Arial" w:hAnsi="Arial" w:cs="Arial"/>
          <w:spacing w:val="-3"/>
          <w:sz w:val="20"/>
        </w:rPr>
        <w:t>.</w:t>
      </w:r>
    </w:p>
    <w:p w14:paraId="524A59D0" w14:textId="2AC1ECC6" w:rsidR="00E50C0E"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szCs w:val="20"/>
        </w:rPr>
      </w:pPr>
    </w:p>
    <w:p w14:paraId="09647142" w14:textId="77777777" w:rsidR="00E50C0E"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For example, let us </w:t>
      </w:r>
      <w:proofErr w:type="gramStart"/>
      <w:r>
        <w:rPr>
          <w:rFonts w:ascii="Arial" w:hAnsi="Arial" w:cs="Arial"/>
          <w:sz w:val="20"/>
        </w:rPr>
        <w:t>suppose :</w:t>
      </w:r>
      <w:proofErr w:type="gramEnd"/>
      <w:r>
        <w:rPr>
          <w:rFonts w:ascii="Arial" w:hAnsi="Arial" w:cs="Arial"/>
          <w:sz w:val="20"/>
        </w:rPr>
        <w:t xml:space="preserve"> </w:t>
      </w:r>
    </w:p>
    <w:p w14:paraId="6D59ABA5" w14:textId="77777777" w:rsidR="00E50C0E" w:rsidRDefault="00E50C0E" w:rsidP="00E91CD3">
      <w:pPr>
        <w:pStyle w:val="Caption"/>
        <w:jc w:val="center"/>
        <w:rPr>
          <w:rFonts w:ascii="Arial" w:hAnsi="Arial" w:cs="Arial"/>
          <w:sz w:val="20"/>
        </w:rPr>
      </w:pPr>
      <w:r>
        <w:rPr>
          <w:rFonts w:ascii="Arial" w:hAnsi="Arial" w:cs="Arial"/>
          <w:sz w:val="20"/>
        </w:rPr>
        <w:t xml:space="preserve">j = </w:t>
      </w:r>
      <w:r>
        <w:rPr>
          <w:rFonts w:ascii="Arial" w:hAnsi="Arial" w:cs="Arial"/>
          <w:i/>
          <w:iCs/>
          <w:sz w:val="20"/>
        </w:rPr>
        <w:t>1, n</w:t>
      </w:r>
      <w:r>
        <w:rPr>
          <w:rFonts w:ascii="Arial" w:hAnsi="Arial" w:cs="Arial"/>
          <w:sz w:val="20"/>
        </w:rPr>
        <w:t xml:space="preserve"> companies of a broad index,</w:t>
      </w:r>
    </w:p>
    <w:p w14:paraId="241ABB66" w14:textId="77777777" w:rsidR="00E50C0E" w:rsidRDefault="00E50C0E" w:rsidP="00E91CD3">
      <w:pPr>
        <w:pStyle w:val="Caption"/>
        <w:jc w:val="center"/>
        <w:rPr>
          <w:rFonts w:ascii="Arial" w:hAnsi="Arial" w:cs="Arial"/>
          <w:sz w:val="20"/>
        </w:rPr>
      </w:pPr>
      <w:proofErr w:type="spellStart"/>
      <w:r>
        <w:rPr>
          <w:rFonts w:ascii="Arial" w:hAnsi="Arial" w:cs="Arial"/>
          <w:sz w:val="20"/>
        </w:rPr>
        <w:t>MV</w:t>
      </w:r>
      <w:r>
        <w:rPr>
          <w:rFonts w:ascii="Arial" w:hAnsi="Arial" w:cs="Arial"/>
          <w:sz w:val="20"/>
          <w:vertAlign w:val="subscript"/>
        </w:rPr>
        <w:t>j</w:t>
      </w:r>
      <w:proofErr w:type="spellEnd"/>
      <w:r>
        <w:rPr>
          <w:rFonts w:ascii="Arial" w:hAnsi="Arial" w:cs="Arial"/>
          <w:sz w:val="20"/>
        </w:rPr>
        <w:t>: market value of company j at year end T,</w:t>
      </w:r>
    </w:p>
    <w:p w14:paraId="3094059B" w14:textId="77777777" w:rsidR="00E50C0E" w:rsidRDefault="00E50C0E" w:rsidP="00E91CD3">
      <w:pPr>
        <w:pStyle w:val="Caption"/>
        <w:jc w:val="center"/>
        <w:rPr>
          <w:rFonts w:ascii="Arial" w:hAnsi="Arial" w:cs="Arial"/>
          <w:sz w:val="20"/>
        </w:rPr>
      </w:pPr>
      <w:proofErr w:type="spellStart"/>
      <w:r>
        <w:rPr>
          <w:rFonts w:ascii="Arial" w:hAnsi="Arial" w:cs="Arial"/>
          <w:sz w:val="20"/>
        </w:rPr>
        <w:t>E</w:t>
      </w:r>
      <w:r>
        <w:rPr>
          <w:rFonts w:ascii="Arial" w:hAnsi="Arial" w:cs="Arial"/>
          <w:sz w:val="20"/>
          <w:vertAlign w:val="subscript"/>
        </w:rPr>
        <w:t>j</w:t>
      </w:r>
      <w:proofErr w:type="spellEnd"/>
      <w:r>
        <w:rPr>
          <w:rFonts w:ascii="Arial" w:hAnsi="Arial" w:cs="Arial"/>
          <w:sz w:val="20"/>
        </w:rPr>
        <w:t xml:space="preserve"> earnings (possibly losses) of company j based on last published accounts</w:t>
      </w:r>
    </w:p>
    <w:p w14:paraId="39A7E513" w14:textId="77777777" w:rsidR="00E50C0E" w:rsidRDefault="00E50C0E" w:rsidP="00E91CD3">
      <w:pPr>
        <w:spacing w:after="0" w:line="240" w:lineRule="auto"/>
        <w:rPr>
          <w:rFonts w:ascii="Arial" w:hAnsi="Arial" w:cs="Arial"/>
          <w:sz w:val="20"/>
        </w:rPr>
      </w:pPr>
    </w:p>
    <w:p w14:paraId="790BD49A" w14:textId="1126054A" w:rsidR="00E50C0E" w:rsidRDefault="00E50C0E" w:rsidP="00E91CD3">
      <w:pPr>
        <w:spacing w:after="0" w:line="240" w:lineRule="auto"/>
        <w:rPr>
          <w:rFonts w:ascii="Arial" w:hAnsi="Arial" w:cs="Arial"/>
          <w:sz w:val="20"/>
        </w:rPr>
      </w:pPr>
      <w:r>
        <w:rPr>
          <w:rFonts w:ascii="Arial" w:hAnsi="Arial" w:cs="Arial"/>
          <w:sz w:val="20"/>
        </w:rPr>
        <w:t>We have:</w:t>
      </w:r>
    </w:p>
    <w:tbl>
      <w:tblPr>
        <w:tblW w:w="9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02"/>
        <w:gridCol w:w="165"/>
        <w:gridCol w:w="1561"/>
        <w:gridCol w:w="1561"/>
        <w:gridCol w:w="1561"/>
        <w:gridCol w:w="2129"/>
        <w:gridCol w:w="1144"/>
      </w:tblGrid>
      <w:tr w:rsidR="00E50C0E" w14:paraId="2CA0A79B" w14:textId="77777777" w:rsidTr="00925973">
        <w:trPr>
          <w:cantSplit/>
          <w:trHeight w:val="20"/>
          <w:jc w:val="center"/>
        </w:trPr>
        <w:tc>
          <w:tcPr>
            <w:tcW w:w="1102" w:type="dxa"/>
            <w:vMerge w:val="restart"/>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center"/>
            <w:hideMark/>
          </w:tcPr>
          <w:p w14:paraId="44801524" w14:textId="77777777" w:rsidR="00E50C0E" w:rsidRDefault="00E50C0E" w:rsidP="00E91CD3">
            <w:pPr>
              <w:spacing w:after="0" w:line="240" w:lineRule="auto"/>
              <w:rPr>
                <w:rFonts w:ascii="Arial" w:eastAsia="Arial Unicode MS" w:hAnsi="Arial" w:cs="Arial"/>
                <w:b/>
                <w:color w:val="FFFFFF"/>
                <w:sz w:val="16"/>
                <w:szCs w:val="16"/>
              </w:rPr>
            </w:pPr>
            <w:r>
              <w:rPr>
                <w:rFonts w:ascii="Arial" w:eastAsia="Arial Unicode MS" w:hAnsi="Arial" w:cs="Arial"/>
                <w:b/>
                <w:color w:val="FFFFFF"/>
                <w:sz w:val="16"/>
                <w:szCs w:val="16"/>
              </w:rPr>
              <w:t>Company</w:t>
            </w:r>
          </w:p>
        </w:tc>
        <w:tc>
          <w:tcPr>
            <w:tcW w:w="165" w:type="dxa"/>
            <w:tcBorders>
              <w:top w:val="single" w:sz="8" w:space="0" w:color="auto"/>
              <w:left w:val="nil"/>
              <w:bottom w:val="nil"/>
              <w:right w:val="single" w:sz="8" w:space="0" w:color="auto"/>
            </w:tcBorders>
            <w:shd w:val="clear" w:color="auto" w:fill="00709E"/>
            <w:tcMar>
              <w:top w:w="17" w:type="dxa"/>
              <w:left w:w="17" w:type="dxa"/>
              <w:bottom w:w="0" w:type="dxa"/>
              <w:right w:w="17" w:type="dxa"/>
            </w:tcMar>
          </w:tcPr>
          <w:p w14:paraId="00B7D55B" w14:textId="77777777" w:rsidR="00E50C0E" w:rsidRDefault="00E50C0E" w:rsidP="00E91CD3">
            <w:pPr>
              <w:spacing w:after="0" w:line="240" w:lineRule="auto"/>
              <w:jc w:val="center"/>
              <w:rPr>
                <w:rFonts w:ascii="Arial" w:eastAsia="Times New Roman" w:hAnsi="Arial" w:cs="Arial"/>
                <w:b/>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2780BE48"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Price</w:t>
            </w:r>
          </w:p>
        </w:tc>
        <w:tc>
          <w:tcPr>
            <w:tcW w:w="1561"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111088CE"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Outstanding shares</w:t>
            </w:r>
          </w:p>
        </w:tc>
        <w:tc>
          <w:tcPr>
            <w:tcW w:w="1561"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425D121A"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Market value</w:t>
            </w:r>
          </w:p>
        </w:tc>
        <w:tc>
          <w:tcPr>
            <w:tcW w:w="2129"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078C47AD"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Earnings or</w:t>
            </w:r>
            <w:r>
              <w:rPr>
                <w:rFonts w:ascii="Arial" w:hAnsi="Arial" w:cs="Arial"/>
                <w:b/>
                <w:color w:val="FFFFFF"/>
                <w:sz w:val="16"/>
                <w:szCs w:val="16"/>
              </w:rPr>
              <w:br/>
              <w:t xml:space="preserve"> losses</w:t>
            </w:r>
          </w:p>
        </w:tc>
        <w:tc>
          <w:tcPr>
            <w:tcW w:w="1144" w:type="dxa"/>
            <w:vMerge w:val="restart"/>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2BA679F0"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PER</w:t>
            </w:r>
          </w:p>
        </w:tc>
      </w:tr>
      <w:tr w:rsidR="00E50C0E" w14:paraId="6B265038" w14:textId="77777777" w:rsidTr="00925973">
        <w:trPr>
          <w:cantSplit/>
          <w:trHeight w:val="20"/>
          <w:jc w:val="center"/>
        </w:trPr>
        <w:tc>
          <w:tcPr>
            <w:tcW w:w="1102" w:type="dxa"/>
            <w:vMerge/>
            <w:tcBorders>
              <w:top w:val="single" w:sz="8" w:space="0" w:color="auto"/>
              <w:left w:val="single" w:sz="8" w:space="0" w:color="auto"/>
              <w:bottom w:val="single" w:sz="8" w:space="0" w:color="auto"/>
              <w:right w:val="nil"/>
            </w:tcBorders>
            <w:vAlign w:val="center"/>
            <w:hideMark/>
          </w:tcPr>
          <w:p w14:paraId="2A4AC0B9" w14:textId="77777777" w:rsidR="00E50C0E" w:rsidRDefault="00E50C0E" w:rsidP="00E91CD3">
            <w:pPr>
              <w:spacing w:after="0" w:line="240" w:lineRule="auto"/>
              <w:rPr>
                <w:rFonts w:ascii="Arial" w:eastAsia="Arial Unicode MS" w:hAnsi="Arial" w:cs="Arial"/>
                <w:b/>
                <w:color w:val="FFFFFF"/>
                <w:sz w:val="16"/>
                <w:szCs w:val="16"/>
                <w:lang w:eastAsia="fr-FR"/>
              </w:rPr>
            </w:pPr>
          </w:p>
        </w:tc>
        <w:tc>
          <w:tcPr>
            <w:tcW w:w="165" w:type="dxa"/>
            <w:tcBorders>
              <w:top w:val="nil"/>
              <w:left w:val="nil"/>
              <w:bottom w:val="single" w:sz="8" w:space="0" w:color="auto"/>
              <w:right w:val="single" w:sz="8" w:space="0" w:color="auto"/>
            </w:tcBorders>
            <w:shd w:val="clear" w:color="auto" w:fill="00709E"/>
            <w:tcMar>
              <w:top w:w="17" w:type="dxa"/>
              <w:left w:w="17" w:type="dxa"/>
              <w:bottom w:w="0" w:type="dxa"/>
              <w:right w:w="17" w:type="dxa"/>
            </w:tcMar>
          </w:tcPr>
          <w:p w14:paraId="10D043C4" w14:textId="77777777" w:rsidR="00E50C0E" w:rsidRDefault="00E50C0E" w:rsidP="00E91CD3">
            <w:pPr>
              <w:spacing w:after="0" w:line="240" w:lineRule="auto"/>
              <w:jc w:val="right"/>
              <w:rPr>
                <w:rFonts w:ascii="Arial" w:eastAsia="Times New Roman" w:hAnsi="Arial" w:cs="Arial"/>
                <w:b/>
                <w:color w:val="FFFFFF"/>
                <w:sz w:val="16"/>
                <w:szCs w:val="16"/>
              </w:rPr>
            </w:pPr>
          </w:p>
        </w:tc>
        <w:tc>
          <w:tcPr>
            <w:tcW w:w="4683" w:type="dxa"/>
            <w:gridSpan w:val="3"/>
            <w:tcBorders>
              <w:top w:val="single" w:sz="8" w:space="0" w:color="auto"/>
              <w:left w:val="single" w:sz="8" w:space="0" w:color="auto"/>
              <w:bottom w:val="single" w:sz="8" w:space="0" w:color="auto"/>
              <w:right w:val="single" w:sz="8" w:space="0" w:color="auto"/>
            </w:tcBorders>
            <w:shd w:val="clear" w:color="auto" w:fill="00709E"/>
            <w:noWrap/>
            <w:tcMar>
              <w:top w:w="17" w:type="dxa"/>
              <w:left w:w="17" w:type="dxa"/>
              <w:bottom w:w="0" w:type="dxa"/>
              <w:right w:w="17" w:type="dxa"/>
            </w:tcMar>
            <w:vAlign w:val="center"/>
            <w:hideMark/>
          </w:tcPr>
          <w:p w14:paraId="20C45F6A" w14:textId="77777777" w:rsidR="00E50C0E" w:rsidRDefault="00E50C0E" w:rsidP="00E91CD3">
            <w:pPr>
              <w:spacing w:after="0" w:line="240" w:lineRule="auto"/>
              <w:jc w:val="center"/>
              <w:rPr>
                <w:rFonts w:ascii="Arial" w:hAnsi="Arial" w:cs="Arial"/>
                <w:b/>
                <w:color w:val="FFFFFF"/>
                <w:sz w:val="16"/>
                <w:szCs w:val="16"/>
              </w:rPr>
            </w:pPr>
            <w:r>
              <w:rPr>
                <w:rFonts w:ascii="Arial" w:hAnsi="Arial" w:cs="Arial"/>
                <w:b/>
                <w:color w:val="FFFFFF"/>
                <w:sz w:val="16"/>
                <w:szCs w:val="16"/>
              </w:rPr>
              <w:t>as of year-end T</w:t>
            </w:r>
          </w:p>
        </w:tc>
        <w:tc>
          <w:tcPr>
            <w:tcW w:w="2129" w:type="dxa"/>
            <w:tcBorders>
              <w:top w:val="single" w:sz="8" w:space="0" w:color="auto"/>
              <w:left w:val="single" w:sz="8" w:space="0" w:color="auto"/>
              <w:bottom w:val="single" w:sz="8" w:space="0" w:color="auto"/>
              <w:right w:val="single" w:sz="8" w:space="0" w:color="auto"/>
            </w:tcBorders>
            <w:shd w:val="clear" w:color="auto" w:fill="00709E"/>
            <w:noWrap/>
            <w:tcMar>
              <w:top w:w="17" w:type="dxa"/>
              <w:left w:w="17" w:type="dxa"/>
              <w:bottom w:w="0" w:type="dxa"/>
              <w:right w:w="17" w:type="dxa"/>
            </w:tcMar>
            <w:vAlign w:val="bottom"/>
            <w:hideMark/>
          </w:tcPr>
          <w:p w14:paraId="288D3B9A" w14:textId="77777777" w:rsidR="00E50C0E" w:rsidRDefault="00E50C0E" w:rsidP="00E91CD3">
            <w:pPr>
              <w:spacing w:after="0" w:line="240" w:lineRule="auto"/>
              <w:jc w:val="center"/>
              <w:rPr>
                <w:rFonts w:ascii="Arial" w:hAnsi="Arial" w:cs="Arial"/>
                <w:b/>
                <w:color w:val="FFFFFF"/>
                <w:sz w:val="16"/>
                <w:szCs w:val="16"/>
              </w:rPr>
            </w:pPr>
            <w:r>
              <w:rPr>
                <w:rFonts w:ascii="Arial" w:hAnsi="Arial" w:cs="Arial"/>
                <w:b/>
                <w:color w:val="FFFFFF"/>
                <w:sz w:val="16"/>
                <w:szCs w:val="16"/>
              </w:rPr>
              <w:t>last published accounts</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345178" w14:textId="77777777" w:rsidR="00E50C0E" w:rsidRDefault="00E50C0E" w:rsidP="00E91CD3">
            <w:pPr>
              <w:spacing w:after="0" w:line="240" w:lineRule="auto"/>
              <w:rPr>
                <w:rFonts w:ascii="Arial" w:eastAsia="Arial Unicode MS" w:hAnsi="Arial" w:cs="Arial"/>
                <w:b/>
                <w:color w:val="FFFFFF"/>
                <w:sz w:val="16"/>
                <w:szCs w:val="16"/>
                <w:lang w:eastAsia="fr-FR"/>
              </w:rPr>
            </w:pPr>
          </w:p>
        </w:tc>
      </w:tr>
      <w:tr w:rsidR="00E50C0E" w14:paraId="1BADDF58"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37E05633"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A</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3457C50F"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62FA4D2"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CD2D400"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F1BB0F6"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460803F"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800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524B12C"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12.50</w:t>
            </w:r>
          </w:p>
        </w:tc>
      </w:tr>
      <w:tr w:rsidR="00E50C0E" w14:paraId="5A807A32"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785DFE45"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B</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48F08BF6"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4F362F9D"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6CCD6C4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100 000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1FC0D71C"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500 000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440920D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30 000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D3EBA5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16.67</w:t>
            </w:r>
          </w:p>
        </w:tc>
      </w:tr>
      <w:tr w:rsidR="00E50C0E" w14:paraId="114E7559"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0DDCA609" w14:textId="77777777" w:rsidR="00E50C0E" w:rsidRDefault="00E50C0E" w:rsidP="00E91CD3">
            <w:pPr>
              <w:spacing w:after="0" w:line="240" w:lineRule="auto"/>
              <w:rPr>
                <w:rFonts w:ascii="Arial" w:eastAsia="Times New Roman" w:hAnsi="Arial" w:cs="Arial"/>
                <w:color w:val="FFFFFF"/>
                <w:sz w:val="16"/>
                <w:szCs w:val="16"/>
              </w:rPr>
            </w:pPr>
            <w:r>
              <w:rPr>
                <w:rFonts w:ascii="Arial" w:hAnsi="Arial" w:cs="Arial"/>
                <w:color w:val="FFFFFF"/>
                <w:sz w:val="16"/>
                <w:szCs w:val="16"/>
              </w:rPr>
              <w:t>C</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64DA60E3" w14:textId="77777777" w:rsidR="00E50C0E" w:rsidRDefault="00E50C0E" w:rsidP="00E91CD3">
            <w:pPr>
              <w:spacing w:after="0" w:line="240" w:lineRule="auto"/>
              <w:jc w:val="center"/>
              <w:rPr>
                <w:rFonts w:ascii="Arial"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8C3D875"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20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C53BADF"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50 000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334E9F5"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1 000 000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10003A0B"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-1 000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3BF69E5" w14:textId="77777777" w:rsidR="00E50C0E" w:rsidRDefault="00E50C0E" w:rsidP="00E91CD3">
            <w:pPr>
              <w:spacing w:after="0" w:line="240" w:lineRule="auto"/>
              <w:jc w:val="center"/>
              <w:rPr>
                <w:rFonts w:ascii="Arial" w:hAnsi="Arial" w:cs="Arial"/>
                <w:sz w:val="16"/>
                <w:szCs w:val="16"/>
              </w:rPr>
            </w:pPr>
            <w:r>
              <w:rPr>
                <w:rFonts w:ascii="Arial" w:hAnsi="Arial" w:cs="Arial"/>
                <w:sz w:val="16"/>
                <w:szCs w:val="16"/>
              </w:rPr>
              <w:t>-</w:t>
            </w:r>
          </w:p>
        </w:tc>
      </w:tr>
      <w:tr w:rsidR="00E50C0E" w14:paraId="4CA6F796"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09F89441"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D</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205C2894"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A8D7AA1"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25</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0A62330"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500 000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0A0EB30"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12 500 000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86B68E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900 000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BA539CB"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13.89</w:t>
            </w:r>
          </w:p>
        </w:tc>
      </w:tr>
      <w:tr w:rsidR="00E50C0E" w14:paraId="001F04DA"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3C752356"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E</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74D97F05"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56EAC86B"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8179667"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35 000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BF1A59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1 750 000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506B5AB7"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100 000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418400C9"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17.50</w:t>
            </w:r>
          </w:p>
        </w:tc>
      </w:tr>
      <w:tr w:rsidR="00E50C0E" w14:paraId="2F0B24B7" w14:textId="77777777" w:rsidTr="00925973">
        <w:trPr>
          <w:cantSplit/>
          <w:trHeight w:val="20"/>
          <w:jc w:val="center"/>
        </w:trPr>
        <w:tc>
          <w:tcPr>
            <w:tcW w:w="4389" w:type="dxa"/>
            <w:gridSpan w:val="4"/>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4109CCE7" w14:textId="77777777" w:rsidR="00E50C0E" w:rsidRDefault="00E50C0E" w:rsidP="00E91CD3">
            <w:pPr>
              <w:spacing w:after="0" w:line="240" w:lineRule="auto"/>
              <w:rPr>
                <w:rFonts w:ascii="Arial" w:eastAsia="Arial Unicode MS" w:hAnsi="Arial" w:cs="Arial"/>
                <w:sz w:val="16"/>
                <w:szCs w:val="16"/>
              </w:rPr>
            </w:pPr>
            <w:r>
              <w:rPr>
                <w:rFonts w:ascii="Arial" w:eastAsia="Arial Unicode MS" w:hAnsi="Arial" w:cs="Arial"/>
                <w:sz w:val="16"/>
                <w:szCs w:val="16"/>
              </w:rPr>
              <w:t>Total</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30068C1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15 760 000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063A26BB"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1 029 800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7FEC8083"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15.30</w:t>
            </w:r>
          </w:p>
        </w:tc>
      </w:tr>
    </w:tbl>
    <w:p w14:paraId="598C5586" w14:textId="77777777" w:rsidR="00E50C0E"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126D1D" w:rsidRPr="00501F5C" w14:paraId="7918A433" w14:textId="77777777" w:rsidTr="0001525E">
        <w:tc>
          <w:tcPr>
            <w:tcW w:w="9016" w:type="dxa"/>
          </w:tcPr>
          <w:p w14:paraId="112CA73E" w14:textId="6A3767EF" w:rsidR="00126D1D" w:rsidRPr="00501F5C" w:rsidRDefault="00126D1D" w:rsidP="009331F3">
            <w:pPr>
              <w:pStyle w:val="Heading3"/>
              <w:outlineLvl w:val="2"/>
              <w:rPr>
                <w:rFonts w:ascii="Arial" w:hAnsi="Arial" w:cs="Arial"/>
                <w:b/>
                <w:bCs/>
                <w:i/>
                <w:iCs/>
                <w:color w:val="auto"/>
                <w:sz w:val="22"/>
                <w:szCs w:val="22"/>
              </w:rPr>
            </w:pPr>
            <w:bookmarkStart w:id="7" w:name="_Ref14258703"/>
            <w:r w:rsidRPr="00501F5C">
              <w:rPr>
                <w:rFonts w:ascii="Arial" w:hAnsi="Arial" w:cs="Arial"/>
                <w:b/>
                <w:bCs/>
                <w:i/>
                <w:iCs/>
                <w:color w:val="auto"/>
                <w:sz w:val="22"/>
                <w:szCs w:val="22"/>
              </w:rPr>
              <w:t>Product: Broad Stock Index</w:t>
            </w:r>
            <w:bookmarkEnd w:id="7"/>
          </w:p>
        </w:tc>
      </w:tr>
    </w:tbl>
    <w:p w14:paraId="00D4F8F7" w14:textId="364E89CC" w:rsidR="00F83A1B" w:rsidRDefault="00F83A1B" w:rsidP="00E91CD3">
      <w:pPr>
        <w:spacing w:after="0" w:line="240" w:lineRule="auto"/>
        <w:jc w:val="both"/>
        <w:rPr>
          <w:rFonts w:ascii="Arial" w:hAnsi="Arial" w:cs="Arial"/>
          <w:snapToGrid w:val="0"/>
          <w:spacing w:val="-3"/>
          <w:sz w:val="20"/>
        </w:rPr>
      </w:pPr>
    </w:p>
    <w:p w14:paraId="7E0915D2" w14:textId="147984C7" w:rsidR="00126D1D" w:rsidRDefault="00887D20" w:rsidP="00E91CD3">
      <w:pPr>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Broad Stock Index (Value)</w:t>
      </w:r>
    </w:p>
    <w:p w14:paraId="14E78A08" w14:textId="77777777" w:rsidR="00F3385C" w:rsidRDefault="00F3385C" w:rsidP="00E91CD3">
      <w:pPr>
        <w:spacing w:after="0" w:line="240" w:lineRule="auto"/>
        <w:jc w:val="both"/>
        <w:rPr>
          <w:rFonts w:ascii="Arial" w:eastAsia="Times New Roman" w:hAnsi="Arial" w:cs="Arial"/>
          <w:b/>
          <w:snapToGrid w:val="0"/>
          <w:spacing w:val="-3"/>
          <w:szCs w:val="20"/>
          <w:lang w:eastAsia="fr-FR"/>
        </w:rPr>
      </w:pPr>
    </w:p>
    <w:p w14:paraId="7B41F7FB" w14:textId="71A0843E" w:rsidR="00610F4B"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Broad indexes are, in general, market capitalisation-weighted, including a large sample of listed </w:t>
      </w:r>
      <w:r w:rsidR="00CF79EE" w:rsidRPr="00CF79EE">
        <w:rPr>
          <w:rFonts w:ascii="Arial" w:eastAsia="Times New Roman" w:hAnsi="Arial" w:cs="Arial"/>
          <w:snapToGrid w:val="0"/>
          <w:color w:val="002060"/>
          <w:sz w:val="20"/>
          <w:szCs w:val="18"/>
          <w:u w:val="single"/>
          <w:lang w:eastAsia="fr-FR"/>
        </w:rPr>
        <w:fldChar w:fldCharType="begin"/>
      </w:r>
      <w:r w:rsidR="00CF79EE" w:rsidRPr="00F505A1">
        <w:rPr>
          <w:rFonts w:ascii="Arial" w:eastAsia="Times New Roman" w:hAnsi="Arial" w:cs="Arial"/>
          <w:snapToGrid w:val="0"/>
          <w:color w:val="002060"/>
          <w:sz w:val="20"/>
          <w:szCs w:val="18"/>
          <w:u w:val="single"/>
          <w:lang w:eastAsia="fr-FR"/>
        </w:rPr>
        <w:instrText xml:space="preserve"> REF _Ref13563231 \h  \* MERGEFORMAT </w:instrText>
      </w:r>
      <w:r w:rsidR="00CF79EE" w:rsidRPr="00CF79EE">
        <w:rPr>
          <w:rFonts w:ascii="Arial" w:eastAsia="Times New Roman" w:hAnsi="Arial" w:cs="Arial"/>
          <w:snapToGrid w:val="0"/>
          <w:color w:val="002060"/>
          <w:sz w:val="20"/>
          <w:szCs w:val="18"/>
          <w:u w:val="single"/>
          <w:lang w:eastAsia="fr-FR"/>
        </w:rPr>
      </w:r>
      <w:r w:rsidR="00CF79EE" w:rsidRPr="00CF79EE">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Domestic</w:t>
      </w:r>
      <w:r w:rsidR="0094528E" w:rsidRPr="0094528E">
        <w:rPr>
          <w:rFonts w:eastAsia="Times New Roman"/>
          <w:snapToGrid w:val="0"/>
          <w:color w:val="002060"/>
          <w:szCs w:val="20"/>
          <w:u w:val="single"/>
          <w:lang w:eastAsia="fr-FR"/>
        </w:rPr>
        <w:t xml:space="preserve"> Companies</w:t>
      </w:r>
      <w:r w:rsidR="00CF79EE" w:rsidRPr="00CF79EE">
        <w:rPr>
          <w:rFonts w:eastAsia="Times New Roman"/>
          <w:snapToGrid w:val="0"/>
          <w:color w:val="002060"/>
          <w:szCs w:val="20"/>
          <w:u w:val="single"/>
          <w:lang w:eastAsia="fr-FR"/>
        </w:rPr>
        <w:fldChar w:fldCharType="end"/>
      </w:r>
      <w:r w:rsidRPr="00490F9F">
        <w:rPr>
          <w:rFonts w:ascii="Arial" w:hAnsi="Arial" w:cs="Arial"/>
          <w:spacing w:val="-3"/>
          <w:sz w:val="20"/>
        </w:rPr>
        <w:t>, as the all-share or composite indexes. They are generally recalculated to adjust to capital operations and to modifications in the company composition of the index. The index can be market capitalisation-weighted or free float based.</w:t>
      </w:r>
    </w:p>
    <w:p w14:paraId="49A43962" w14:textId="77777777" w:rsidR="00F3385C" w:rsidRPr="00490F9F" w:rsidRDefault="00F3385C" w:rsidP="00E91CD3">
      <w:pPr>
        <w:suppressAutoHyphens/>
        <w:spacing w:after="0" w:line="240" w:lineRule="auto"/>
        <w:jc w:val="both"/>
        <w:rPr>
          <w:rFonts w:ascii="Arial" w:hAnsi="Arial" w:cs="Arial"/>
          <w:spacing w:val="-3"/>
          <w:sz w:val="20"/>
        </w:rPr>
      </w:pPr>
    </w:p>
    <w:p w14:paraId="42B0829D" w14:textId="7E99C8AD" w:rsidR="00610F4B" w:rsidRPr="00490F9F"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lastRenderedPageBreak/>
        <w:t xml:space="preserve">When the index is a price index, it measures the pure change of share prices without taking into consideration returns from dividend pay-outs. </w:t>
      </w:r>
    </w:p>
    <w:p w14:paraId="1FD9797A" w14:textId="77777777" w:rsidR="00F3385C" w:rsidRDefault="00F3385C" w:rsidP="00E91CD3">
      <w:pPr>
        <w:suppressAutoHyphens/>
        <w:spacing w:after="0" w:line="240" w:lineRule="auto"/>
        <w:jc w:val="both"/>
        <w:rPr>
          <w:rFonts w:ascii="Arial" w:hAnsi="Arial" w:cs="Arial"/>
          <w:spacing w:val="-3"/>
          <w:sz w:val="20"/>
        </w:rPr>
      </w:pPr>
    </w:p>
    <w:p w14:paraId="051918E0" w14:textId="3C3A3394" w:rsidR="00610F4B" w:rsidRPr="00490F9F"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t>When the index is a return index, it measures the total return of investments on the index shares, including reinvested dividends.</w:t>
      </w:r>
    </w:p>
    <w:p w14:paraId="69024E67" w14:textId="77777777" w:rsidR="00F3385C" w:rsidRDefault="00F3385C" w:rsidP="00E91CD3">
      <w:pPr>
        <w:suppressAutoHyphens/>
        <w:spacing w:after="0" w:line="240" w:lineRule="auto"/>
        <w:jc w:val="both"/>
        <w:rPr>
          <w:rFonts w:ascii="Arial" w:hAnsi="Arial" w:cs="Arial"/>
          <w:spacing w:val="-3"/>
          <w:sz w:val="20"/>
        </w:rPr>
      </w:pPr>
    </w:p>
    <w:p w14:paraId="470779CF" w14:textId="75160673" w:rsidR="00610F4B" w:rsidRPr="00AF35EF"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t>Some WFE member exchanges operate several markets, and report index performances on an individual basis.</w:t>
      </w:r>
    </w:p>
    <w:p w14:paraId="0507BA0F" w14:textId="77777777" w:rsidR="00F3385C"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0DA4714D" w14:textId="1886C386" w:rsidR="00610F4B" w:rsidRPr="00490F9F"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Example</w:t>
      </w:r>
    </w:p>
    <w:tbl>
      <w:tblPr>
        <w:tblW w:w="89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21"/>
        <w:gridCol w:w="1056"/>
        <w:gridCol w:w="1056"/>
        <w:gridCol w:w="1879"/>
        <w:gridCol w:w="1842"/>
      </w:tblGrid>
      <w:tr w:rsidR="00610F4B" w:rsidRPr="00490F9F" w14:paraId="50A152F0" w14:textId="77777777" w:rsidTr="00F505A1">
        <w:trPr>
          <w:trHeight w:val="20"/>
        </w:trPr>
        <w:tc>
          <w:tcPr>
            <w:tcW w:w="3121" w:type="dxa"/>
            <w:shd w:val="clear" w:color="auto" w:fill="00709E"/>
            <w:noWrap/>
            <w:vAlign w:val="center"/>
          </w:tcPr>
          <w:p w14:paraId="789B3D55"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Day 1</w:t>
            </w:r>
          </w:p>
        </w:tc>
        <w:tc>
          <w:tcPr>
            <w:tcW w:w="1056" w:type="dxa"/>
            <w:shd w:val="clear" w:color="auto" w:fill="00709E"/>
            <w:noWrap/>
            <w:vAlign w:val="center"/>
          </w:tcPr>
          <w:p w14:paraId="768CE614"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Shares</w:t>
            </w:r>
          </w:p>
        </w:tc>
        <w:tc>
          <w:tcPr>
            <w:tcW w:w="1056" w:type="dxa"/>
            <w:shd w:val="clear" w:color="auto" w:fill="00709E"/>
            <w:noWrap/>
            <w:vAlign w:val="center"/>
          </w:tcPr>
          <w:p w14:paraId="16638561"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879" w:type="dxa"/>
            <w:shd w:val="clear" w:color="auto" w:fill="00709E"/>
            <w:noWrap/>
            <w:vAlign w:val="center"/>
          </w:tcPr>
          <w:p w14:paraId="03009450"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Market capitalisation</w:t>
            </w:r>
          </w:p>
        </w:tc>
        <w:tc>
          <w:tcPr>
            <w:tcW w:w="1842" w:type="dxa"/>
            <w:shd w:val="clear" w:color="auto" w:fill="00709E"/>
            <w:noWrap/>
            <w:vAlign w:val="center"/>
          </w:tcPr>
          <w:p w14:paraId="48466BC5"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Weighting</w:t>
            </w:r>
          </w:p>
        </w:tc>
      </w:tr>
      <w:tr w:rsidR="00610F4B" w:rsidRPr="00490F9F" w14:paraId="69268700" w14:textId="77777777" w:rsidTr="00F505A1">
        <w:trPr>
          <w:trHeight w:val="20"/>
        </w:trPr>
        <w:tc>
          <w:tcPr>
            <w:tcW w:w="3121" w:type="dxa"/>
            <w:shd w:val="clear" w:color="auto" w:fill="00709E"/>
            <w:noWrap/>
            <w:vAlign w:val="bottom"/>
          </w:tcPr>
          <w:p w14:paraId="57F7A105"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056" w:type="dxa"/>
            <w:noWrap/>
            <w:vAlign w:val="bottom"/>
          </w:tcPr>
          <w:p w14:paraId="51E922D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56" w:type="dxa"/>
            <w:noWrap/>
            <w:vAlign w:val="bottom"/>
          </w:tcPr>
          <w:p w14:paraId="77EB879F"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879" w:type="dxa"/>
            <w:noWrap/>
            <w:vAlign w:val="bottom"/>
          </w:tcPr>
          <w:p w14:paraId="21BECAF6"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842" w:type="dxa"/>
            <w:noWrap/>
            <w:vAlign w:val="bottom"/>
          </w:tcPr>
          <w:p w14:paraId="2F7CFDEF"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w:t>
            </w:r>
          </w:p>
        </w:tc>
      </w:tr>
      <w:tr w:rsidR="00610F4B" w:rsidRPr="00490F9F" w14:paraId="3730B9BF" w14:textId="77777777" w:rsidTr="00F505A1">
        <w:trPr>
          <w:trHeight w:val="20"/>
        </w:trPr>
        <w:tc>
          <w:tcPr>
            <w:tcW w:w="3121" w:type="dxa"/>
            <w:shd w:val="clear" w:color="auto" w:fill="00709E"/>
            <w:noWrap/>
            <w:vAlign w:val="bottom"/>
          </w:tcPr>
          <w:p w14:paraId="0615E84A"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056" w:type="dxa"/>
            <w:noWrap/>
            <w:vAlign w:val="bottom"/>
          </w:tcPr>
          <w:p w14:paraId="117D17D5"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56" w:type="dxa"/>
            <w:noWrap/>
            <w:vAlign w:val="bottom"/>
          </w:tcPr>
          <w:p w14:paraId="0707FBA8"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879" w:type="dxa"/>
            <w:noWrap/>
            <w:vAlign w:val="bottom"/>
          </w:tcPr>
          <w:p w14:paraId="584E1520"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842" w:type="dxa"/>
            <w:noWrap/>
            <w:vAlign w:val="bottom"/>
          </w:tcPr>
          <w:p w14:paraId="468D5633"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20%</w:t>
            </w:r>
          </w:p>
        </w:tc>
      </w:tr>
      <w:tr w:rsidR="00610F4B" w:rsidRPr="00490F9F" w14:paraId="07E7F1EA" w14:textId="77777777" w:rsidTr="00F505A1">
        <w:trPr>
          <w:trHeight w:val="20"/>
        </w:trPr>
        <w:tc>
          <w:tcPr>
            <w:tcW w:w="3121" w:type="dxa"/>
            <w:shd w:val="clear" w:color="auto" w:fill="00709E"/>
            <w:noWrap/>
            <w:vAlign w:val="bottom"/>
          </w:tcPr>
          <w:p w14:paraId="63529858"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056" w:type="dxa"/>
            <w:noWrap/>
            <w:vAlign w:val="bottom"/>
          </w:tcPr>
          <w:p w14:paraId="72AB5E8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300</w:t>
            </w:r>
          </w:p>
        </w:tc>
        <w:tc>
          <w:tcPr>
            <w:tcW w:w="1056" w:type="dxa"/>
            <w:noWrap/>
            <w:vAlign w:val="bottom"/>
          </w:tcPr>
          <w:p w14:paraId="3355625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879" w:type="dxa"/>
            <w:noWrap/>
            <w:vAlign w:val="bottom"/>
          </w:tcPr>
          <w:p w14:paraId="6DAA7799"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600</w:t>
            </w:r>
          </w:p>
        </w:tc>
        <w:tc>
          <w:tcPr>
            <w:tcW w:w="1842" w:type="dxa"/>
            <w:noWrap/>
            <w:vAlign w:val="bottom"/>
          </w:tcPr>
          <w:p w14:paraId="3FBB1A2C"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60%</w:t>
            </w:r>
          </w:p>
        </w:tc>
      </w:tr>
      <w:tr w:rsidR="00610F4B" w:rsidRPr="00490F9F" w14:paraId="3E6FD50A" w14:textId="77777777" w:rsidTr="00F505A1">
        <w:trPr>
          <w:trHeight w:val="20"/>
        </w:trPr>
        <w:tc>
          <w:tcPr>
            <w:tcW w:w="3121" w:type="dxa"/>
            <w:shd w:val="clear" w:color="auto" w:fill="00709E"/>
            <w:noWrap/>
            <w:vAlign w:val="bottom"/>
          </w:tcPr>
          <w:p w14:paraId="68384F02"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D</w:t>
            </w:r>
          </w:p>
        </w:tc>
        <w:tc>
          <w:tcPr>
            <w:tcW w:w="1056" w:type="dxa"/>
            <w:noWrap/>
            <w:vAlign w:val="bottom"/>
          </w:tcPr>
          <w:p w14:paraId="533BF7FC"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56" w:type="dxa"/>
            <w:noWrap/>
            <w:vAlign w:val="bottom"/>
          </w:tcPr>
          <w:p w14:paraId="3EA56CD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879" w:type="dxa"/>
            <w:noWrap/>
            <w:vAlign w:val="bottom"/>
          </w:tcPr>
          <w:p w14:paraId="6B4D5C54"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842" w:type="dxa"/>
            <w:noWrap/>
            <w:vAlign w:val="bottom"/>
          </w:tcPr>
          <w:p w14:paraId="11DBF5C2"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w:t>
            </w:r>
          </w:p>
        </w:tc>
      </w:tr>
      <w:tr w:rsidR="00610F4B" w:rsidRPr="00490F9F" w14:paraId="4664D31D" w14:textId="77777777" w:rsidTr="00F505A1">
        <w:trPr>
          <w:trHeight w:val="20"/>
        </w:trPr>
        <w:tc>
          <w:tcPr>
            <w:tcW w:w="3121" w:type="dxa"/>
            <w:shd w:val="clear" w:color="auto" w:fill="00709E"/>
            <w:noWrap/>
            <w:vAlign w:val="bottom"/>
          </w:tcPr>
          <w:p w14:paraId="634CB7FF" w14:textId="77777777" w:rsidR="00610F4B" w:rsidRPr="00490F9F" w:rsidRDefault="00610F4B"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Total</w:t>
            </w:r>
          </w:p>
        </w:tc>
        <w:tc>
          <w:tcPr>
            <w:tcW w:w="1056" w:type="dxa"/>
            <w:noWrap/>
            <w:vAlign w:val="bottom"/>
          </w:tcPr>
          <w:p w14:paraId="113BA9E6"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 </w:t>
            </w:r>
          </w:p>
        </w:tc>
        <w:tc>
          <w:tcPr>
            <w:tcW w:w="1056" w:type="dxa"/>
            <w:noWrap/>
            <w:vAlign w:val="bottom"/>
          </w:tcPr>
          <w:p w14:paraId="38F1A47D"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 </w:t>
            </w:r>
          </w:p>
        </w:tc>
        <w:tc>
          <w:tcPr>
            <w:tcW w:w="1879" w:type="dxa"/>
            <w:noWrap/>
            <w:vAlign w:val="bottom"/>
          </w:tcPr>
          <w:p w14:paraId="29401146"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1000</w:t>
            </w:r>
          </w:p>
        </w:tc>
        <w:tc>
          <w:tcPr>
            <w:tcW w:w="1842" w:type="dxa"/>
            <w:noWrap/>
            <w:vAlign w:val="bottom"/>
          </w:tcPr>
          <w:p w14:paraId="19E3774F"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w:t>
            </w:r>
          </w:p>
        </w:tc>
      </w:tr>
      <w:tr w:rsidR="00610F4B" w:rsidRPr="00490F9F" w14:paraId="2556563E" w14:textId="77777777" w:rsidTr="00F505A1">
        <w:trPr>
          <w:trHeight w:val="20"/>
        </w:trPr>
        <w:tc>
          <w:tcPr>
            <w:tcW w:w="3121" w:type="dxa"/>
            <w:shd w:val="clear" w:color="auto" w:fill="00709E"/>
            <w:noWrap/>
            <w:vAlign w:val="bottom"/>
          </w:tcPr>
          <w:p w14:paraId="2503C8F8"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Market Cap : Index Value</w:t>
            </w:r>
          </w:p>
        </w:tc>
        <w:tc>
          <w:tcPr>
            <w:tcW w:w="1056" w:type="dxa"/>
            <w:noWrap/>
            <w:vAlign w:val="bottom"/>
          </w:tcPr>
          <w:p w14:paraId="1D4185DF" w14:textId="77777777" w:rsidR="00610F4B" w:rsidRPr="00490F9F" w:rsidRDefault="00610F4B" w:rsidP="00E91CD3">
            <w:pPr>
              <w:spacing w:after="0" w:line="240" w:lineRule="auto"/>
              <w:jc w:val="right"/>
              <w:rPr>
                <w:rFonts w:ascii="Arial" w:hAnsi="Arial" w:cs="Arial"/>
                <w:sz w:val="16"/>
                <w:szCs w:val="16"/>
              </w:rPr>
            </w:pPr>
          </w:p>
        </w:tc>
        <w:tc>
          <w:tcPr>
            <w:tcW w:w="1056" w:type="dxa"/>
            <w:noWrap/>
            <w:vAlign w:val="bottom"/>
          </w:tcPr>
          <w:p w14:paraId="75B98331" w14:textId="77777777" w:rsidR="00610F4B" w:rsidRPr="00490F9F" w:rsidRDefault="00610F4B" w:rsidP="00E91CD3">
            <w:pPr>
              <w:spacing w:after="0" w:line="240" w:lineRule="auto"/>
              <w:jc w:val="right"/>
              <w:rPr>
                <w:rFonts w:ascii="Arial" w:hAnsi="Arial" w:cs="Arial"/>
                <w:sz w:val="16"/>
                <w:szCs w:val="16"/>
              </w:rPr>
            </w:pPr>
          </w:p>
        </w:tc>
        <w:tc>
          <w:tcPr>
            <w:tcW w:w="1879" w:type="dxa"/>
            <w:noWrap/>
            <w:vAlign w:val="bottom"/>
          </w:tcPr>
          <w:p w14:paraId="68EADE11"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 : 1</w:t>
            </w:r>
          </w:p>
        </w:tc>
        <w:tc>
          <w:tcPr>
            <w:tcW w:w="1842" w:type="dxa"/>
            <w:noWrap/>
            <w:vAlign w:val="bottom"/>
          </w:tcPr>
          <w:p w14:paraId="15562857"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r w:rsidR="00610F4B" w:rsidRPr="00490F9F" w14:paraId="17B8C4F7" w14:textId="77777777" w:rsidTr="00F505A1">
        <w:trPr>
          <w:trHeight w:val="20"/>
        </w:trPr>
        <w:tc>
          <w:tcPr>
            <w:tcW w:w="3121" w:type="dxa"/>
            <w:shd w:val="clear" w:color="auto" w:fill="00709E"/>
            <w:noWrap/>
            <w:vAlign w:val="bottom"/>
          </w:tcPr>
          <w:p w14:paraId="7C374AAF"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Index Value</w:t>
            </w:r>
          </w:p>
        </w:tc>
        <w:tc>
          <w:tcPr>
            <w:tcW w:w="1056" w:type="dxa"/>
            <w:noWrap/>
            <w:vAlign w:val="bottom"/>
          </w:tcPr>
          <w:p w14:paraId="70390452"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056" w:type="dxa"/>
            <w:noWrap/>
            <w:vAlign w:val="bottom"/>
          </w:tcPr>
          <w:p w14:paraId="5667BB98"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879" w:type="dxa"/>
            <w:noWrap/>
            <w:vAlign w:val="bottom"/>
          </w:tcPr>
          <w:p w14:paraId="64948F28"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w:t>
            </w:r>
          </w:p>
        </w:tc>
        <w:tc>
          <w:tcPr>
            <w:tcW w:w="1842" w:type="dxa"/>
            <w:noWrap/>
            <w:vAlign w:val="bottom"/>
          </w:tcPr>
          <w:p w14:paraId="3244E2AD"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bl>
    <w:p w14:paraId="26690176" w14:textId="77777777" w:rsidR="00610F4B" w:rsidRPr="00490F9F" w:rsidRDefault="00610F4B" w:rsidP="00E91CD3">
      <w:pPr>
        <w:spacing w:after="0" w:line="240" w:lineRule="auto"/>
        <w:rPr>
          <w:rFonts w:ascii="Arial" w:hAnsi="Arial" w:cs="Arial"/>
          <w:b/>
          <w:bCs/>
          <w:sz w:val="20"/>
        </w:rPr>
      </w:pPr>
    </w:p>
    <w:tbl>
      <w:tblPr>
        <w:tblW w:w="89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09"/>
        <w:gridCol w:w="1070"/>
        <w:gridCol w:w="1070"/>
        <w:gridCol w:w="1863"/>
        <w:gridCol w:w="1842"/>
      </w:tblGrid>
      <w:tr w:rsidR="00610F4B" w:rsidRPr="00490F9F" w14:paraId="64C8FE4B" w14:textId="77777777" w:rsidTr="00F505A1">
        <w:trPr>
          <w:trHeight w:val="20"/>
        </w:trPr>
        <w:tc>
          <w:tcPr>
            <w:tcW w:w="3109" w:type="dxa"/>
            <w:shd w:val="clear" w:color="auto" w:fill="00709E"/>
            <w:noWrap/>
            <w:vAlign w:val="center"/>
          </w:tcPr>
          <w:p w14:paraId="2569DB85"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Day 2</w:t>
            </w:r>
          </w:p>
        </w:tc>
        <w:tc>
          <w:tcPr>
            <w:tcW w:w="1070" w:type="dxa"/>
            <w:shd w:val="clear" w:color="auto" w:fill="00709E"/>
            <w:noWrap/>
            <w:vAlign w:val="center"/>
          </w:tcPr>
          <w:p w14:paraId="69173403"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Shares</w:t>
            </w:r>
          </w:p>
        </w:tc>
        <w:tc>
          <w:tcPr>
            <w:tcW w:w="1070" w:type="dxa"/>
            <w:shd w:val="clear" w:color="auto" w:fill="00709E"/>
            <w:noWrap/>
            <w:vAlign w:val="center"/>
          </w:tcPr>
          <w:p w14:paraId="3A3347DC"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863" w:type="dxa"/>
            <w:shd w:val="clear" w:color="auto" w:fill="00709E"/>
            <w:noWrap/>
            <w:vAlign w:val="center"/>
          </w:tcPr>
          <w:p w14:paraId="5C58848F"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Market capitalisation</w:t>
            </w:r>
          </w:p>
        </w:tc>
        <w:tc>
          <w:tcPr>
            <w:tcW w:w="1842" w:type="dxa"/>
            <w:shd w:val="clear" w:color="auto" w:fill="00709E"/>
            <w:noWrap/>
            <w:vAlign w:val="center"/>
          </w:tcPr>
          <w:p w14:paraId="4AE24049"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Weighting</w:t>
            </w:r>
          </w:p>
        </w:tc>
      </w:tr>
      <w:tr w:rsidR="00610F4B" w:rsidRPr="00490F9F" w14:paraId="259EF25D" w14:textId="77777777" w:rsidTr="00F505A1">
        <w:trPr>
          <w:trHeight w:val="20"/>
        </w:trPr>
        <w:tc>
          <w:tcPr>
            <w:tcW w:w="3109" w:type="dxa"/>
            <w:shd w:val="clear" w:color="auto" w:fill="00709E"/>
            <w:noWrap/>
            <w:vAlign w:val="bottom"/>
          </w:tcPr>
          <w:p w14:paraId="0DD071EB"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070" w:type="dxa"/>
            <w:noWrap/>
            <w:vAlign w:val="bottom"/>
          </w:tcPr>
          <w:p w14:paraId="10AF02B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70" w:type="dxa"/>
            <w:noWrap/>
            <w:vAlign w:val="bottom"/>
          </w:tcPr>
          <w:p w14:paraId="2507DEC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0.5</w:t>
            </w:r>
          </w:p>
        </w:tc>
        <w:tc>
          <w:tcPr>
            <w:tcW w:w="1863" w:type="dxa"/>
            <w:noWrap/>
            <w:vAlign w:val="bottom"/>
          </w:tcPr>
          <w:p w14:paraId="39F95566"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50</w:t>
            </w:r>
          </w:p>
        </w:tc>
        <w:tc>
          <w:tcPr>
            <w:tcW w:w="1842" w:type="dxa"/>
            <w:noWrap/>
            <w:vAlign w:val="bottom"/>
          </w:tcPr>
          <w:p w14:paraId="2D4E083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5%</w:t>
            </w:r>
          </w:p>
        </w:tc>
      </w:tr>
      <w:tr w:rsidR="00610F4B" w:rsidRPr="00490F9F" w14:paraId="459757BB" w14:textId="77777777" w:rsidTr="00F505A1">
        <w:trPr>
          <w:trHeight w:val="20"/>
        </w:trPr>
        <w:tc>
          <w:tcPr>
            <w:tcW w:w="3109" w:type="dxa"/>
            <w:shd w:val="clear" w:color="auto" w:fill="00709E"/>
            <w:noWrap/>
            <w:vAlign w:val="bottom"/>
          </w:tcPr>
          <w:p w14:paraId="5DC4AA55"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070" w:type="dxa"/>
            <w:noWrap/>
            <w:vAlign w:val="bottom"/>
          </w:tcPr>
          <w:p w14:paraId="5CC762D5"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70" w:type="dxa"/>
            <w:noWrap/>
            <w:vAlign w:val="bottom"/>
          </w:tcPr>
          <w:p w14:paraId="68276B0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1.5</w:t>
            </w:r>
          </w:p>
        </w:tc>
        <w:tc>
          <w:tcPr>
            <w:tcW w:w="1863" w:type="dxa"/>
            <w:noWrap/>
            <w:vAlign w:val="bottom"/>
          </w:tcPr>
          <w:p w14:paraId="4B42E495"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150</w:t>
            </w:r>
          </w:p>
        </w:tc>
        <w:tc>
          <w:tcPr>
            <w:tcW w:w="1842" w:type="dxa"/>
            <w:noWrap/>
            <w:vAlign w:val="bottom"/>
          </w:tcPr>
          <w:p w14:paraId="6048029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14%</w:t>
            </w:r>
          </w:p>
        </w:tc>
      </w:tr>
      <w:tr w:rsidR="00610F4B" w:rsidRPr="00490F9F" w14:paraId="04F14637" w14:textId="77777777" w:rsidTr="00F505A1">
        <w:trPr>
          <w:trHeight w:val="20"/>
        </w:trPr>
        <w:tc>
          <w:tcPr>
            <w:tcW w:w="3109" w:type="dxa"/>
            <w:shd w:val="clear" w:color="auto" w:fill="00709E"/>
            <w:noWrap/>
            <w:vAlign w:val="bottom"/>
          </w:tcPr>
          <w:p w14:paraId="5A0D7FB7"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070" w:type="dxa"/>
            <w:noWrap/>
            <w:vAlign w:val="bottom"/>
          </w:tcPr>
          <w:p w14:paraId="52E9871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300</w:t>
            </w:r>
          </w:p>
        </w:tc>
        <w:tc>
          <w:tcPr>
            <w:tcW w:w="1070" w:type="dxa"/>
            <w:noWrap/>
            <w:vAlign w:val="bottom"/>
          </w:tcPr>
          <w:p w14:paraId="63EF6D1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2.5</w:t>
            </w:r>
          </w:p>
        </w:tc>
        <w:tc>
          <w:tcPr>
            <w:tcW w:w="1863" w:type="dxa"/>
            <w:noWrap/>
            <w:vAlign w:val="bottom"/>
          </w:tcPr>
          <w:p w14:paraId="7339FED9"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750</w:t>
            </w:r>
          </w:p>
        </w:tc>
        <w:tc>
          <w:tcPr>
            <w:tcW w:w="1842" w:type="dxa"/>
            <w:noWrap/>
            <w:vAlign w:val="bottom"/>
          </w:tcPr>
          <w:p w14:paraId="12F2BAB4"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71%</w:t>
            </w:r>
          </w:p>
        </w:tc>
      </w:tr>
      <w:tr w:rsidR="00610F4B" w:rsidRPr="00490F9F" w14:paraId="59BE1B10" w14:textId="77777777" w:rsidTr="00F505A1">
        <w:trPr>
          <w:trHeight w:val="20"/>
        </w:trPr>
        <w:tc>
          <w:tcPr>
            <w:tcW w:w="3109" w:type="dxa"/>
            <w:shd w:val="clear" w:color="auto" w:fill="00709E"/>
            <w:noWrap/>
            <w:vAlign w:val="bottom"/>
          </w:tcPr>
          <w:p w14:paraId="371F4FA6"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D</w:t>
            </w:r>
          </w:p>
        </w:tc>
        <w:tc>
          <w:tcPr>
            <w:tcW w:w="1070" w:type="dxa"/>
            <w:noWrap/>
            <w:vAlign w:val="bottom"/>
          </w:tcPr>
          <w:p w14:paraId="473F587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70" w:type="dxa"/>
            <w:noWrap/>
            <w:vAlign w:val="bottom"/>
          </w:tcPr>
          <w:p w14:paraId="643199C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863" w:type="dxa"/>
            <w:noWrap/>
            <w:vAlign w:val="bottom"/>
          </w:tcPr>
          <w:p w14:paraId="5DE6661A"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842" w:type="dxa"/>
            <w:noWrap/>
            <w:vAlign w:val="bottom"/>
          </w:tcPr>
          <w:p w14:paraId="6AE7CD5B"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w:t>
            </w:r>
          </w:p>
        </w:tc>
      </w:tr>
      <w:tr w:rsidR="00610F4B" w:rsidRPr="00490F9F" w14:paraId="16DC1BB5" w14:textId="77777777" w:rsidTr="00F505A1">
        <w:trPr>
          <w:trHeight w:val="20"/>
        </w:trPr>
        <w:tc>
          <w:tcPr>
            <w:tcW w:w="3109" w:type="dxa"/>
            <w:shd w:val="clear" w:color="auto" w:fill="00709E"/>
            <w:noWrap/>
            <w:vAlign w:val="bottom"/>
          </w:tcPr>
          <w:p w14:paraId="6D210A27" w14:textId="77777777" w:rsidR="00610F4B" w:rsidRPr="00490F9F" w:rsidRDefault="00610F4B"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Total</w:t>
            </w:r>
          </w:p>
        </w:tc>
        <w:tc>
          <w:tcPr>
            <w:tcW w:w="1070" w:type="dxa"/>
            <w:noWrap/>
            <w:vAlign w:val="bottom"/>
          </w:tcPr>
          <w:p w14:paraId="278F761A" w14:textId="77777777" w:rsidR="00610F4B" w:rsidRPr="00490F9F" w:rsidRDefault="00610F4B" w:rsidP="00E91CD3">
            <w:pPr>
              <w:spacing w:after="0" w:line="240" w:lineRule="auto"/>
              <w:rPr>
                <w:rFonts w:ascii="Arial" w:hAnsi="Arial" w:cs="Arial"/>
                <w:b/>
                <w:bCs/>
                <w:sz w:val="16"/>
                <w:szCs w:val="16"/>
              </w:rPr>
            </w:pPr>
            <w:r w:rsidRPr="00490F9F">
              <w:rPr>
                <w:rFonts w:ascii="Arial" w:hAnsi="Arial" w:cs="Arial"/>
                <w:b/>
                <w:bCs/>
                <w:sz w:val="16"/>
                <w:szCs w:val="16"/>
              </w:rPr>
              <w:t> </w:t>
            </w:r>
          </w:p>
        </w:tc>
        <w:tc>
          <w:tcPr>
            <w:tcW w:w="1070" w:type="dxa"/>
            <w:noWrap/>
            <w:vAlign w:val="bottom"/>
          </w:tcPr>
          <w:p w14:paraId="45B287B4" w14:textId="77777777" w:rsidR="00610F4B" w:rsidRPr="00490F9F" w:rsidRDefault="00610F4B" w:rsidP="00E91CD3">
            <w:pPr>
              <w:spacing w:after="0" w:line="240" w:lineRule="auto"/>
              <w:rPr>
                <w:rFonts w:ascii="Arial" w:hAnsi="Arial" w:cs="Arial"/>
                <w:b/>
                <w:bCs/>
                <w:sz w:val="16"/>
                <w:szCs w:val="16"/>
              </w:rPr>
            </w:pPr>
            <w:r w:rsidRPr="00490F9F">
              <w:rPr>
                <w:rFonts w:ascii="Arial" w:hAnsi="Arial" w:cs="Arial"/>
                <w:b/>
                <w:bCs/>
                <w:sz w:val="16"/>
                <w:szCs w:val="16"/>
              </w:rPr>
              <w:t> </w:t>
            </w:r>
          </w:p>
        </w:tc>
        <w:tc>
          <w:tcPr>
            <w:tcW w:w="1863" w:type="dxa"/>
            <w:noWrap/>
            <w:vAlign w:val="bottom"/>
          </w:tcPr>
          <w:p w14:paraId="6D0CF06F"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1050</w:t>
            </w:r>
          </w:p>
        </w:tc>
        <w:tc>
          <w:tcPr>
            <w:tcW w:w="1842" w:type="dxa"/>
            <w:noWrap/>
            <w:vAlign w:val="bottom"/>
          </w:tcPr>
          <w:p w14:paraId="2470CFAE"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w:t>
            </w:r>
          </w:p>
        </w:tc>
      </w:tr>
      <w:tr w:rsidR="00610F4B" w:rsidRPr="00490F9F" w14:paraId="3DF70457" w14:textId="77777777" w:rsidTr="00F505A1">
        <w:trPr>
          <w:trHeight w:val="20"/>
        </w:trPr>
        <w:tc>
          <w:tcPr>
            <w:tcW w:w="3109" w:type="dxa"/>
            <w:shd w:val="clear" w:color="auto" w:fill="00709E"/>
            <w:noWrap/>
            <w:vAlign w:val="bottom"/>
          </w:tcPr>
          <w:p w14:paraId="151FABE6"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Market Cap : Index Value</w:t>
            </w:r>
          </w:p>
        </w:tc>
        <w:tc>
          <w:tcPr>
            <w:tcW w:w="1070" w:type="dxa"/>
            <w:noWrap/>
            <w:vAlign w:val="bottom"/>
          </w:tcPr>
          <w:p w14:paraId="7B12526B" w14:textId="77777777" w:rsidR="00610F4B" w:rsidRPr="00490F9F" w:rsidRDefault="00610F4B" w:rsidP="00E91CD3">
            <w:pPr>
              <w:spacing w:after="0" w:line="240" w:lineRule="auto"/>
              <w:rPr>
                <w:rFonts w:ascii="Arial" w:hAnsi="Arial" w:cs="Arial"/>
                <w:sz w:val="16"/>
                <w:szCs w:val="16"/>
              </w:rPr>
            </w:pPr>
          </w:p>
        </w:tc>
        <w:tc>
          <w:tcPr>
            <w:tcW w:w="1070" w:type="dxa"/>
            <w:noWrap/>
            <w:vAlign w:val="bottom"/>
          </w:tcPr>
          <w:p w14:paraId="08F0D819" w14:textId="77777777" w:rsidR="00610F4B" w:rsidRPr="00490F9F" w:rsidRDefault="00610F4B" w:rsidP="00E91CD3">
            <w:pPr>
              <w:spacing w:after="0" w:line="240" w:lineRule="auto"/>
              <w:rPr>
                <w:rFonts w:ascii="Arial" w:hAnsi="Arial" w:cs="Arial"/>
                <w:sz w:val="16"/>
                <w:szCs w:val="16"/>
              </w:rPr>
            </w:pPr>
          </w:p>
        </w:tc>
        <w:tc>
          <w:tcPr>
            <w:tcW w:w="1863" w:type="dxa"/>
            <w:noWrap/>
            <w:vAlign w:val="bottom"/>
          </w:tcPr>
          <w:p w14:paraId="1A9EE910"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 : 1</w:t>
            </w:r>
          </w:p>
        </w:tc>
        <w:tc>
          <w:tcPr>
            <w:tcW w:w="1842" w:type="dxa"/>
            <w:noWrap/>
            <w:vAlign w:val="bottom"/>
          </w:tcPr>
          <w:p w14:paraId="5D5FC435"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r w:rsidR="00610F4B" w:rsidRPr="00490F9F" w14:paraId="3759FC67" w14:textId="77777777" w:rsidTr="00F505A1">
        <w:trPr>
          <w:trHeight w:val="20"/>
        </w:trPr>
        <w:tc>
          <w:tcPr>
            <w:tcW w:w="3109" w:type="dxa"/>
            <w:shd w:val="clear" w:color="auto" w:fill="00709E"/>
            <w:noWrap/>
            <w:vAlign w:val="bottom"/>
          </w:tcPr>
          <w:p w14:paraId="486E4456"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Index Value</w:t>
            </w:r>
          </w:p>
        </w:tc>
        <w:tc>
          <w:tcPr>
            <w:tcW w:w="1070" w:type="dxa"/>
            <w:noWrap/>
            <w:vAlign w:val="bottom"/>
          </w:tcPr>
          <w:p w14:paraId="49408310"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c>
          <w:tcPr>
            <w:tcW w:w="1070" w:type="dxa"/>
            <w:noWrap/>
            <w:vAlign w:val="bottom"/>
          </w:tcPr>
          <w:p w14:paraId="4AF0E543"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c>
          <w:tcPr>
            <w:tcW w:w="1863" w:type="dxa"/>
            <w:noWrap/>
            <w:vAlign w:val="bottom"/>
          </w:tcPr>
          <w:p w14:paraId="16981D20"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105</w:t>
            </w:r>
          </w:p>
        </w:tc>
        <w:tc>
          <w:tcPr>
            <w:tcW w:w="1842" w:type="dxa"/>
            <w:noWrap/>
            <w:vAlign w:val="bottom"/>
          </w:tcPr>
          <w:p w14:paraId="64A209AC"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bl>
    <w:p w14:paraId="1234CAFF" w14:textId="77777777" w:rsidR="00610F4B" w:rsidRPr="00490F9F" w:rsidRDefault="00610F4B" w:rsidP="00E91CD3">
      <w:pPr>
        <w:spacing w:after="0" w:line="240" w:lineRule="auto"/>
        <w:jc w:val="both"/>
        <w:rPr>
          <w:rFonts w:ascii="Arial" w:hAnsi="Arial" w:cs="Arial"/>
          <w:b/>
          <w:bCs/>
          <w:sz w:val="20"/>
        </w:rPr>
      </w:pPr>
    </w:p>
    <w:p w14:paraId="05510CAD" w14:textId="075DDF30" w:rsidR="00610F4B" w:rsidRDefault="00610F4B" w:rsidP="00E91CD3">
      <w:pPr>
        <w:tabs>
          <w:tab w:val="left" w:pos="9180"/>
        </w:tabs>
        <w:spacing w:after="0" w:line="240" w:lineRule="auto"/>
        <w:jc w:val="both"/>
        <w:rPr>
          <w:rFonts w:ascii="Arial" w:hAnsi="Arial" w:cs="Arial"/>
          <w:bCs/>
          <w:sz w:val="20"/>
        </w:rPr>
      </w:pPr>
      <w:r w:rsidRPr="00490F9F">
        <w:rPr>
          <w:rFonts w:ascii="Arial" w:hAnsi="Arial" w:cs="Arial"/>
          <w:bCs/>
          <w:sz w:val="20"/>
        </w:rPr>
        <w:t xml:space="preserve">As can be seen from the example above, the index has changed from 100 to 105 based on the change in total market capitalisation of companies A, B, C and D. </w:t>
      </w:r>
    </w:p>
    <w:p w14:paraId="3747E810" w14:textId="77777777" w:rsidR="00F3385C" w:rsidRPr="00490F9F" w:rsidRDefault="00F3385C" w:rsidP="00E91CD3">
      <w:pPr>
        <w:tabs>
          <w:tab w:val="left" w:pos="9180"/>
        </w:tabs>
        <w:spacing w:after="0" w:line="240" w:lineRule="auto"/>
        <w:jc w:val="both"/>
        <w:rPr>
          <w:rFonts w:ascii="Arial" w:hAnsi="Arial" w:cs="Arial"/>
          <w:bCs/>
          <w:sz w:val="20"/>
        </w:rPr>
      </w:pPr>
    </w:p>
    <w:p w14:paraId="6831C827" w14:textId="3BDC7CDA" w:rsidR="00887D20"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color w:val="4472C4" w:themeColor="accent1"/>
          <w:sz w:val="20"/>
        </w:rPr>
      </w:pPr>
      <w:r w:rsidRPr="00490F9F">
        <w:rPr>
          <w:rFonts w:ascii="Arial" w:hAnsi="Arial" w:cs="Arial"/>
          <w:bCs/>
          <w:sz w:val="20"/>
        </w:rPr>
        <w:t>Monthly high and low figures provided are based on all index calculations throughout the month, i.e. the calculations include intra-day figures and not just end-of-day figures</w:t>
      </w:r>
      <w:r w:rsidRPr="001D35F6">
        <w:rPr>
          <w:rFonts w:ascii="Arial" w:hAnsi="Arial" w:cs="Arial"/>
          <w:bCs/>
          <w:color w:val="4472C4" w:themeColor="accent1"/>
          <w:sz w:val="20"/>
        </w:rPr>
        <w:t>.</w:t>
      </w:r>
    </w:p>
    <w:p w14:paraId="14AE8CD7" w14:textId="77777777" w:rsidR="00F3385C" w:rsidRPr="001C5340"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17FEA" w:rsidRPr="00501F5C" w14:paraId="7D022770" w14:textId="77777777" w:rsidTr="0001525E">
        <w:tc>
          <w:tcPr>
            <w:tcW w:w="9016" w:type="dxa"/>
          </w:tcPr>
          <w:p w14:paraId="40DD1883" w14:textId="7893733E" w:rsidR="00917FEA" w:rsidRPr="00501F5C" w:rsidRDefault="00917FEA" w:rsidP="009331F3">
            <w:pPr>
              <w:pStyle w:val="Heading3"/>
              <w:outlineLvl w:val="2"/>
              <w:rPr>
                <w:rFonts w:ascii="Arial" w:hAnsi="Arial" w:cs="Arial"/>
                <w:b/>
                <w:bCs/>
                <w:i/>
                <w:iCs/>
                <w:color w:val="auto"/>
                <w:sz w:val="22"/>
                <w:szCs w:val="22"/>
              </w:rPr>
            </w:pPr>
            <w:bookmarkStart w:id="8" w:name="_Ref14258723"/>
            <w:r w:rsidRPr="00501F5C">
              <w:rPr>
                <w:rFonts w:ascii="Arial" w:hAnsi="Arial" w:cs="Arial"/>
                <w:b/>
                <w:bCs/>
                <w:i/>
                <w:iCs/>
                <w:color w:val="auto"/>
                <w:sz w:val="22"/>
                <w:szCs w:val="22"/>
              </w:rPr>
              <w:t>Product: Blue Chip Index</w:t>
            </w:r>
            <w:bookmarkEnd w:id="8"/>
          </w:p>
        </w:tc>
      </w:tr>
    </w:tbl>
    <w:p w14:paraId="68EAA63F" w14:textId="753B7A64" w:rsidR="00126D1D" w:rsidRDefault="00126D1D" w:rsidP="00E91CD3">
      <w:pPr>
        <w:spacing w:after="0" w:line="240" w:lineRule="auto"/>
        <w:jc w:val="both"/>
        <w:rPr>
          <w:rFonts w:ascii="Arial" w:hAnsi="Arial" w:cs="Arial"/>
          <w:snapToGrid w:val="0"/>
          <w:spacing w:val="-3"/>
          <w:sz w:val="20"/>
        </w:rPr>
      </w:pPr>
    </w:p>
    <w:p w14:paraId="45F6AA0E" w14:textId="2075518B" w:rsidR="00455AD6" w:rsidRDefault="00455AD6" w:rsidP="00E91CD3">
      <w:pPr>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Blue Chip Index (Value)</w:t>
      </w:r>
    </w:p>
    <w:p w14:paraId="2CC27A59" w14:textId="77777777" w:rsidR="00F3385C" w:rsidRDefault="00F3385C" w:rsidP="00E91CD3">
      <w:pPr>
        <w:suppressAutoHyphens/>
        <w:spacing w:after="0" w:line="240" w:lineRule="auto"/>
        <w:jc w:val="both"/>
        <w:rPr>
          <w:rFonts w:ascii="Arial" w:hAnsi="Arial" w:cs="Arial"/>
          <w:spacing w:val="-3"/>
          <w:sz w:val="20"/>
        </w:rPr>
      </w:pPr>
    </w:p>
    <w:p w14:paraId="742A0C77" w14:textId="2EDE99E4" w:rsidR="00455AD6" w:rsidRPr="001D35F6" w:rsidRDefault="00455AD6" w:rsidP="00E91CD3">
      <w:pPr>
        <w:suppressAutoHyphens/>
        <w:spacing w:after="0" w:line="240" w:lineRule="auto"/>
        <w:jc w:val="both"/>
        <w:rPr>
          <w:rFonts w:ascii="Arial" w:hAnsi="Arial" w:cs="Arial"/>
          <w:spacing w:val="-3"/>
          <w:sz w:val="20"/>
        </w:rPr>
      </w:pPr>
      <w:r w:rsidRPr="001D35F6">
        <w:rPr>
          <w:rFonts w:ascii="Arial" w:hAnsi="Arial" w:cs="Arial"/>
          <w:spacing w:val="-3"/>
          <w:sz w:val="20"/>
        </w:rPr>
        <w:t>A blue</w:t>
      </w:r>
      <w:r>
        <w:rPr>
          <w:rFonts w:ascii="Arial" w:hAnsi="Arial" w:cs="Arial"/>
          <w:spacing w:val="-3"/>
          <w:sz w:val="20"/>
        </w:rPr>
        <w:t>-</w:t>
      </w:r>
      <w:r w:rsidRPr="001D35F6">
        <w:rPr>
          <w:rFonts w:ascii="Arial" w:hAnsi="Arial" w:cs="Arial"/>
          <w:spacing w:val="-3"/>
          <w:sz w:val="20"/>
        </w:rPr>
        <w:t xml:space="preserve">chip index measures the price movements of a selected range of blue chips stocks, generally the most heavily capitalized and traded shares. Blue chips indexes often serve as </w:t>
      </w:r>
      <w:r>
        <w:rPr>
          <w:rFonts w:ascii="Arial" w:hAnsi="Arial" w:cs="Arial"/>
          <w:spacing w:val="-3"/>
          <w:sz w:val="20"/>
        </w:rPr>
        <w:t>underlying</w:t>
      </w:r>
      <w:r w:rsidRPr="001D35F6">
        <w:rPr>
          <w:rFonts w:ascii="Arial" w:hAnsi="Arial" w:cs="Arial"/>
          <w:spacing w:val="-3"/>
          <w:sz w:val="20"/>
        </w:rPr>
        <w:t xml:space="preserve"> for derivatives (options and futures). The index can be market capitalisation-weighted or free float based.</w:t>
      </w:r>
    </w:p>
    <w:p w14:paraId="0C2D2A3E" w14:textId="77777777" w:rsidR="00455AD6" w:rsidRPr="001D35F6" w:rsidRDefault="00455AD6" w:rsidP="00E91CD3">
      <w:pPr>
        <w:suppressAutoHyphens/>
        <w:spacing w:after="0" w:line="240" w:lineRule="auto"/>
        <w:jc w:val="both"/>
        <w:rPr>
          <w:rFonts w:ascii="Arial" w:hAnsi="Arial" w:cs="Arial"/>
          <w:spacing w:val="-3"/>
          <w:sz w:val="20"/>
        </w:rPr>
      </w:pPr>
      <w:r w:rsidRPr="001D35F6">
        <w:rPr>
          <w:rFonts w:ascii="Arial" w:hAnsi="Arial" w:cs="Arial"/>
          <w:spacing w:val="-3"/>
          <w:sz w:val="20"/>
        </w:rPr>
        <w:t>As with the broad stock market indexes, some WFE member exchanges operate several markets, and choose to report index performances on individual basis.</w:t>
      </w:r>
    </w:p>
    <w:p w14:paraId="39237CF7" w14:textId="77777777" w:rsidR="00F3385C" w:rsidRDefault="00F3385C" w:rsidP="00E91CD3">
      <w:pPr>
        <w:spacing w:after="0" w:line="240" w:lineRule="auto"/>
        <w:jc w:val="both"/>
        <w:rPr>
          <w:rFonts w:ascii="Arial" w:eastAsia="Times New Roman" w:hAnsi="Arial" w:cs="Arial"/>
          <w:b/>
          <w:snapToGrid w:val="0"/>
          <w:spacing w:val="-3"/>
          <w:szCs w:val="20"/>
          <w:lang w:eastAsia="fr-FR"/>
        </w:rPr>
      </w:pPr>
    </w:p>
    <w:p w14:paraId="35FA707D" w14:textId="7EE4F783" w:rsidR="00455AD6" w:rsidRDefault="00455AD6" w:rsidP="00E91CD3">
      <w:pPr>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Volatility of Blue</w:t>
      </w:r>
      <w:r w:rsidR="000D7147">
        <w:rPr>
          <w:rFonts w:ascii="Arial" w:eastAsia="Times New Roman" w:hAnsi="Arial" w:cs="Arial"/>
          <w:b/>
          <w:snapToGrid w:val="0"/>
          <w:spacing w:val="-3"/>
          <w:szCs w:val="20"/>
          <w:lang w:eastAsia="fr-FR"/>
        </w:rPr>
        <w:t xml:space="preserve"> </w:t>
      </w:r>
      <w:r>
        <w:rPr>
          <w:rFonts w:ascii="Arial" w:eastAsia="Times New Roman" w:hAnsi="Arial" w:cs="Arial"/>
          <w:b/>
          <w:snapToGrid w:val="0"/>
          <w:spacing w:val="-3"/>
          <w:szCs w:val="20"/>
          <w:lang w:eastAsia="fr-FR"/>
        </w:rPr>
        <w:t xml:space="preserve">Chip Index </w:t>
      </w:r>
    </w:p>
    <w:p w14:paraId="09AAD937" w14:textId="77777777" w:rsidR="00E824B0" w:rsidRPr="00E33087" w:rsidRDefault="00E824B0" w:rsidP="00E824B0">
      <w:pPr>
        <w:spacing w:after="0" w:line="240" w:lineRule="auto"/>
        <w:jc w:val="both"/>
        <w:rPr>
          <w:rFonts w:ascii="Arial" w:eastAsia="Times New Roman" w:hAnsi="Arial" w:cs="Arial"/>
          <w:b/>
          <w:snapToGrid w:val="0"/>
          <w:spacing w:val="-3"/>
          <w:szCs w:val="20"/>
          <w:lang w:eastAsia="fr-FR"/>
        </w:rPr>
      </w:pPr>
    </w:p>
    <w:p w14:paraId="7A5BC4F4" w14:textId="24E774FF" w:rsidR="00E824B0" w:rsidRDefault="00E824B0" w:rsidP="00E824B0">
      <w:pPr>
        <w:suppressAutoHyphens/>
        <w:spacing w:after="0" w:line="240" w:lineRule="auto"/>
        <w:jc w:val="both"/>
        <w:rPr>
          <w:rFonts w:ascii="Arial" w:hAnsi="Arial" w:cs="Arial"/>
          <w:spacing w:val="-3"/>
          <w:sz w:val="20"/>
        </w:rPr>
      </w:pPr>
      <w:r w:rsidRPr="00E824B0">
        <w:rPr>
          <w:rFonts w:ascii="Arial" w:hAnsi="Arial" w:cs="Arial"/>
          <w:spacing w:val="-3"/>
          <w:sz w:val="20"/>
        </w:rPr>
        <w:t xml:space="preserve">Stock market volatility is calculated using daily returns on the blue-chip index </w:t>
      </w:r>
      <w:proofErr w:type="spellStart"/>
      <w:r w:rsidRPr="00E824B0">
        <w:rPr>
          <w:rFonts w:ascii="Arial" w:hAnsi="Arial" w:cs="Arial"/>
          <w:spacing w:val="-3"/>
          <w:sz w:val="20"/>
        </w:rPr>
        <w:t>i</w:t>
      </w:r>
      <w:proofErr w:type="spellEnd"/>
      <w:r w:rsidRPr="00E824B0">
        <w:rPr>
          <w:rFonts w:ascii="Arial" w:hAnsi="Arial" w:cs="Arial"/>
          <w:spacing w:val="-3"/>
          <w:sz w:val="20"/>
        </w:rPr>
        <w:t xml:space="preserve">. Returns are calculated as percentage change of the blue-chip index from day d-1 to day d. </w:t>
      </w:r>
      <w:proofErr w:type="gramStart"/>
      <w:r w:rsidRPr="00E824B0">
        <w:rPr>
          <w:rFonts w:ascii="Arial" w:hAnsi="Arial" w:cs="Arial"/>
          <w:spacing w:val="-3"/>
          <w:sz w:val="20"/>
        </w:rPr>
        <w:t>Formally</w:t>
      </w:r>
      <w:proofErr w:type="gramEnd"/>
      <w:r w:rsidRPr="00E824B0">
        <w:rPr>
          <w:rFonts w:ascii="Arial" w:hAnsi="Arial" w:cs="Arial"/>
          <w:spacing w:val="-3"/>
          <w:sz w:val="20"/>
        </w:rPr>
        <w:t>:</w:t>
      </w:r>
    </w:p>
    <w:p w14:paraId="5E802138" w14:textId="77777777" w:rsidR="00E824B0" w:rsidRPr="00E824B0" w:rsidRDefault="00E824B0" w:rsidP="00E824B0">
      <w:pPr>
        <w:suppressAutoHyphens/>
        <w:spacing w:after="0" w:line="240" w:lineRule="auto"/>
        <w:jc w:val="both"/>
        <w:rPr>
          <w:rFonts w:ascii="Arial" w:hAnsi="Arial" w:cs="Arial"/>
          <w:spacing w:val="-3"/>
          <w:sz w:val="20"/>
        </w:rPr>
      </w:pPr>
    </w:p>
    <w:p w14:paraId="2D9FCAC4" w14:textId="77777777" w:rsidR="00E824B0" w:rsidRPr="00FF2E1F" w:rsidRDefault="00E824B0" w:rsidP="00E824B0">
      <w:pPr>
        <w:jc w:val="both"/>
        <w:rPr>
          <w:rFonts w:eastAsiaTheme="minorEastAsia"/>
        </w:rPr>
      </w:pPr>
      <m:oMathPara>
        <m:oMath>
          <m:r>
            <w:rPr>
              <w:rFonts w:ascii="Cambria Math" w:hAnsi="Cambria Math"/>
            </w:rPr>
            <m:t xml:space="preserve">Daily </m:t>
          </m:r>
          <m:sSub>
            <m:sSubPr>
              <m:ctrlPr>
                <w:rPr>
                  <w:rFonts w:ascii="Cambria Math" w:hAnsi="Cambria Math"/>
                  <w:i/>
                </w:rPr>
              </m:ctrlPr>
            </m:sSubPr>
            <m:e>
              <m:r>
                <w:rPr>
                  <w:rFonts w:ascii="Cambria Math" w:hAnsi="Cambria Math"/>
                </w:rPr>
                <m:t>returns</m:t>
              </m:r>
            </m:e>
            <m:sub>
              <m:r>
                <w:rPr>
                  <w:rFonts w:ascii="Cambria Math" w:hAnsi="Cambria Math"/>
                </w:rPr>
                <m:t>id</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Bluechip index </m:t>
                  </m:r>
                  <m:sSub>
                    <m:sSubPr>
                      <m:ctrlPr>
                        <w:rPr>
                          <w:rFonts w:ascii="Cambria Math" w:hAnsi="Cambria Math"/>
                          <w:i/>
                        </w:rPr>
                      </m:ctrlPr>
                    </m:sSubPr>
                    <m:e>
                      <m:r>
                        <w:rPr>
                          <w:rFonts w:ascii="Cambria Math" w:hAnsi="Cambria Math"/>
                        </w:rPr>
                        <m:t xml:space="preserve">value </m:t>
                      </m:r>
                    </m:e>
                    <m:sub>
                      <m:r>
                        <w:rPr>
                          <w:rFonts w:ascii="Cambria Math" w:hAnsi="Cambria Math"/>
                        </w:rPr>
                        <m:t>id</m:t>
                      </m:r>
                    </m:sub>
                  </m:sSub>
                </m:e>
              </m:d>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Bluechip index </m:t>
                  </m:r>
                  <m:sSub>
                    <m:sSubPr>
                      <m:ctrlPr>
                        <w:rPr>
                          <w:rFonts w:ascii="Cambria Math" w:hAnsi="Cambria Math"/>
                          <w:i/>
                        </w:rPr>
                      </m:ctrlPr>
                    </m:sSubPr>
                    <m:e>
                      <m:r>
                        <w:rPr>
                          <w:rFonts w:ascii="Cambria Math" w:hAnsi="Cambria Math"/>
                        </w:rPr>
                        <m:t xml:space="preserve">value </m:t>
                      </m:r>
                    </m:e>
                    <m:sub>
                      <m:r>
                        <w:rPr>
                          <w:rFonts w:ascii="Cambria Math" w:hAnsi="Cambria Math"/>
                        </w:rPr>
                        <m:t>id-1</m:t>
                      </m:r>
                    </m:sub>
                  </m:sSub>
                </m:e>
              </m:d>
            </m:e>
          </m:func>
          <m:r>
            <w:rPr>
              <w:rFonts w:ascii="Cambria Math" w:hAnsi="Cambria Math"/>
            </w:rPr>
            <m:t xml:space="preserve">  (1) </m:t>
          </m:r>
        </m:oMath>
      </m:oMathPara>
    </w:p>
    <w:p w14:paraId="66327A12" w14:textId="009F0DE0" w:rsidR="00E824B0" w:rsidRDefault="00E824B0" w:rsidP="00E824B0">
      <w:pPr>
        <w:suppressAutoHyphens/>
        <w:spacing w:after="0" w:line="240" w:lineRule="auto"/>
        <w:jc w:val="both"/>
        <w:rPr>
          <w:rFonts w:ascii="Arial" w:hAnsi="Arial" w:cs="Arial"/>
          <w:spacing w:val="-3"/>
          <w:sz w:val="20"/>
        </w:rPr>
      </w:pPr>
      <w:r w:rsidRPr="00E824B0">
        <w:rPr>
          <w:rFonts w:ascii="Arial" w:hAnsi="Arial" w:cs="Arial"/>
          <w:spacing w:val="-3"/>
          <w:sz w:val="20"/>
        </w:rPr>
        <w:t xml:space="preserve">Volatility is then calculated as the standard deviation of daily returns over the last 125 days (six months of trading activity), multiplied by a scaling factor to obtain a monthly or annual indicator. Formally: </w:t>
      </w:r>
    </w:p>
    <w:p w14:paraId="70E40677" w14:textId="77777777" w:rsidR="00E824B0" w:rsidRPr="00E824B0" w:rsidRDefault="00E824B0" w:rsidP="00E824B0">
      <w:pPr>
        <w:suppressAutoHyphens/>
        <w:spacing w:after="0" w:line="240" w:lineRule="auto"/>
        <w:jc w:val="both"/>
        <w:rPr>
          <w:rFonts w:ascii="Arial" w:hAnsi="Arial" w:cs="Arial"/>
          <w:spacing w:val="-3"/>
          <w:sz w:val="20"/>
        </w:rPr>
      </w:pPr>
    </w:p>
    <w:p w14:paraId="3981FF92" w14:textId="77777777" w:rsidR="00E824B0" w:rsidRPr="00025E1A" w:rsidRDefault="00F05665" w:rsidP="00E824B0">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Volatility</m:t>
              </m:r>
            </m:e>
            <m:sub>
              <m:r>
                <w:rPr>
                  <w:rFonts w:ascii="Cambria Math" w:eastAsiaTheme="minorEastAsia" w:hAnsi="Cambria Math"/>
                </w:rPr>
                <m:t>it</m:t>
              </m:r>
            </m:sub>
          </m:sSub>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125</m:t>
                  </m:r>
                </m:den>
              </m:f>
              <m:nary>
                <m:naryPr>
                  <m:chr m:val="∑"/>
                  <m:limLoc m:val="undOvr"/>
                  <m:ctrlPr>
                    <w:rPr>
                      <w:rFonts w:ascii="Cambria Math" w:eastAsiaTheme="minorEastAsia" w:hAnsi="Cambria Math"/>
                      <w:i/>
                    </w:rPr>
                  </m:ctrlPr>
                </m:naryPr>
                <m:sub>
                  <m:r>
                    <w:rPr>
                      <w:rFonts w:ascii="Cambria Math" w:eastAsiaTheme="minorEastAsia" w:hAnsi="Cambria Math"/>
                    </w:rPr>
                    <m:t>t=0</m:t>
                  </m:r>
                </m:sub>
                <m:sup>
                  <m:r>
                    <w:rPr>
                      <w:rFonts w:ascii="Cambria Math" w:eastAsiaTheme="minorEastAsia" w:hAnsi="Cambria Math"/>
                    </w:rPr>
                    <m:t>125</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hAnsi="Cambria Math"/>
                            </w:rPr>
                            <m:t xml:space="preserve">Daily </m:t>
                          </m:r>
                          <m:sSub>
                            <m:sSubPr>
                              <m:ctrlPr>
                                <w:rPr>
                                  <w:rFonts w:ascii="Cambria Math" w:hAnsi="Cambria Math"/>
                                  <w:i/>
                                </w:rPr>
                              </m:ctrlPr>
                            </m:sSubPr>
                            <m:e>
                              <m:r>
                                <w:rPr>
                                  <w:rFonts w:ascii="Cambria Math" w:hAnsi="Cambria Math"/>
                                </w:rPr>
                                <m:t>returns</m:t>
                              </m:r>
                            </m:e>
                            <m:sub>
                              <m:r>
                                <w:rPr>
                                  <w:rFonts w:ascii="Cambria Math" w:hAnsi="Cambria Math"/>
                                </w:rPr>
                                <m:t>id-t</m:t>
                              </m:r>
                            </m:sub>
                          </m:sSub>
                          <m:r>
                            <w:rPr>
                              <w:rFonts w:ascii="Cambria Math" w:hAnsi="Cambria Math"/>
                            </w:rPr>
                            <m:t xml:space="preserve">- </m:t>
                          </m:r>
                          <m:acc>
                            <m:accPr>
                              <m:chr m:val="̅"/>
                              <m:ctrlPr>
                                <w:rPr>
                                  <w:rFonts w:ascii="Cambria Math" w:hAnsi="Cambria Math"/>
                                  <w:i/>
                                </w:rPr>
                              </m:ctrlPr>
                            </m:accPr>
                            <m:e>
                              <m:r>
                                <w:rPr>
                                  <w:rFonts w:ascii="Cambria Math" w:hAnsi="Cambria Math"/>
                                </w:rPr>
                                <m:t xml:space="preserve">Daily </m:t>
                              </m:r>
                              <m:sSub>
                                <m:sSubPr>
                                  <m:ctrlPr>
                                    <w:rPr>
                                      <w:rFonts w:ascii="Cambria Math" w:hAnsi="Cambria Math"/>
                                      <w:i/>
                                    </w:rPr>
                                  </m:ctrlPr>
                                </m:sSubPr>
                                <m:e>
                                  <m:r>
                                    <w:rPr>
                                      <w:rFonts w:ascii="Cambria Math" w:hAnsi="Cambria Math"/>
                                    </w:rPr>
                                    <m:t>returns</m:t>
                                  </m:r>
                                </m:e>
                                <m:sub>
                                  <m:r>
                                    <w:rPr>
                                      <w:rFonts w:ascii="Cambria Math" w:hAnsi="Cambria Math"/>
                                    </w:rPr>
                                    <m:t>i</m:t>
                                  </m:r>
                                </m:sub>
                              </m:sSub>
                            </m:e>
                          </m:acc>
                        </m:e>
                      </m:d>
                    </m:e>
                    <m:sup>
                      <m:r>
                        <w:rPr>
                          <w:rFonts w:ascii="Cambria Math" w:eastAsiaTheme="minorEastAsia" w:hAnsi="Cambria Math"/>
                        </w:rPr>
                        <m:t>2</m:t>
                      </m:r>
                    </m:sup>
                  </m:sSup>
                </m:e>
              </m:nary>
              <m:r>
                <w:rPr>
                  <w:rFonts w:ascii="Cambria Math" w:eastAsiaTheme="minorEastAsia" w:hAnsi="Cambria Math"/>
                </w:rPr>
                <m:t xml:space="preserve"> </m:t>
              </m:r>
            </m:e>
          </m:rad>
          <m:r>
            <w:rPr>
              <w:rFonts w:ascii="Cambria Math" w:eastAsiaTheme="minorEastAsia" w:hAnsi="Cambria Math"/>
            </w:rPr>
            <m:t>×SCALING FACTOR (2)</m:t>
          </m:r>
        </m:oMath>
      </m:oMathPara>
    </w:p>
    <w:p w14:paraId="4B36679E" w14:textId="77777777" w:rsidR="00E824B0" w:rsidRPr="00E824B0" w:rsidRDefault="00E824B0" w:rsidP="00E824B0">
      <w:pPr>
        <w:suppressAutoHyphens/>
        <w:spacing w:after="0" w:line="240" w:lineRule="auto"/>
        <w:jc w:val="both"/>
        <w:rPr>
          <w:rFonts w:ascii="Arial" w:hAnsi="Arial" w:cs="Arial"/>
          <w:spacing w:val="-3"/>
          <w:sz w:val="20"/>
        </w:rPr>
      </w:pPr>
      <w:r w:rsidRPr="00E824B0">
        <w:rPr>
          <w:rFonts w:ascii="Arial" w:hAnsi="Arial" w:cs="Arial"/>
          <w:spacing w:val="-3"/>
          <w:sz w:val="20"/>
        </w:rPr>
        <w:t>Where the Scaling Factor is equal to:</w:t>
      </w:r>
    </w:p>
    <w:p w14:paraId="0132019A" w14:textId="77777777" w:rsidR="00E824B0" w:rsidRPr="00025E1A" w:rsidRDefault="00F05665" w:rsidP="00E824B0">
      <w:pPr>
        <w:pStyle w:val="ListParagraph"/>
        <w:widowControl/>
        <w:numPr>
          <w:ilvl w:val="0"/>
          <w:numId w:val="36"/>
        </w:numPr>
        <w:spacing w:after="160" w:line="259" w:lineRule="auto"/>
        <w:jc w:val="both"/>
      </w:pPr>
      <m:oMath>
        <m:rad>
          <m:radPr>
            <m:degHide m:val="1"/>
            <m:ctrlPr>
              <w:rPr>
                <w:rFonts w:ascii="Cambria Math" w:hAnsi="Cambria Math"/>
                <w:i/>
              </w:rPr>
            </m:ctrlPr>
          </m:radPr>
          <m:deg/>
          <m:e>
            <m:r>
              <w:rPr>
                <w:rFonts w:ascii="Cambria Math" w:hAnsi="Cambria Math"/>
              </w:rPr>
              <m:t>22</m:t>
            </m:r>
          </m:e>
        </m:rad>
        <m:r>
          <w:rPr>
            <w:rFonts w:ascii="Cambria Math" w:eastAsiaTheme="minorEastAsia" w:hAnsi="Cambria Math"/>
          </w:rPr>
          <m:t xml:space="preserve"> × 100</m:t>
        </m:r>
      </m:oMath>
      <w:r w:rsidR="00E824B0">
        <w:rPr>
          <w:rFonts w:eastAsiaTheme="minorEastAsia"/>
        </w:rPr>
        <w:t xml:space="preserve"> </w:t>
      </w:r>
      <w:r w:rsidR="00E824B0" w:rsidRPr="00E824B0">
        <w:rPr>
          <w:rFonts w:ascii="Arial" w:eastAsiaTheme="minorHAnsi" w:hAnsi="Arial" w:cs="Arial"/>
          <w:snapToGrid/>
          <w:spacing w:val="-3"/>
          <w:sz w:val="20"/>
          <w:szCs w:val="22"/>
          <w:lang w:eastAsia="en-US"/>
        </w:rPr>
        <w:t>for monthly statistics</w:t>
      </w:r>
    </w:p>
    <w:p w14:paraId="76742551" w14:textId="77777777" w:rsidR="00E824B0" w:rsidRPr="00025E1A" w:rsidRDefault="00F05665" w:rsidP="00E824B0">
      <w:pPr>
        <w:pStyle w:val="ListParagraph"/>
        <w:widowControl/>
        <w:numPr>
          <w:ilvl w:val="0"/>
          <w:numId w:val="36"/>
        </w:numPr>
        <w:spacing w:after="160" w:line="259" w:lineRule="auto"/>
        <w:jc w:val="both"/>
      </w:pPr>
      <m:oMath>
        <m:rad>
          <m:radPr>
            <m:degHide m:val="1"/>
            <m:ctrlPr>
              <w:rPr>
                <w:rFonts w:ascii="Cambria Math" w:hAnsi="Cambria Math"/>
                <w:i/>
              </w:rPr>
            </m:ctrlPr>
          </m:radPr>
          <m:deg/>
          <m:e>
            <m:r>
              <w:rPr>
                <w:rFonts w:ascii="Cambria Math" w:hAnsi="Cambria Math"/>
              </w:rPr>
              <m:t>250×100</m:t>
            </m:r>
          </m:e>
        </m:rad>
      </m:oMath>
      <w:r w:rsidR="00E824B0">
        <w:rPr>
          <w:rFonts w:eastAsiaTheme="minorEastAsia"/>
        </w:rPr>
        <w:t xml:space="preserve"> </w:t>
      </w:r>
      <w:r w:rsidR="00E824B0" w:rsidRPr="00E824B0">
        <w:rPr>
          <w:rFonts w:ascii="Arial" w:eastAsiaTheme="minorHAnsi" w:hAnsi="Arial" w:cs="Arial"/>
          <w:snapToGrid/>
          <w:spacing w:val="-3"/>
          <w:sz w:val="20"/>
          <w:szCs w:val="22"/>
          <w:lang w:eastAsia="en-US"/>
        </w:rPr>
        <w:t>for annual statistics</w:t>
      </w:r>
    </w:p>
    <w:p w14:paraId="102794CB" w14:textId="77777777" w:rsidR="00C27095" w:rsidRDefault="00C27095" w:rsidP="00E91CD3">
      <w:pPr>
        <w:suppressAutoHyphens/>
        <w:spacing w:after="0" w:line="240" w:lineRule="auto"/>
        <w:rPr>
          <w:rFonts w:ascii="Arial" w:hAnsi="Arial" w:cs="Arial"/>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CE143B" w:rsidRPr="00501F5C" w14:paraId="09DDF347" w14:textId="77777777" w:rsidTr="0001525E">
        <w:tc>
          <w:tcPr>
            <w:tcW w:w="9016" w:type="dxa"/>
          </w:tcPr>
          <w:p w14:paraId="5D0E54F4" w14:textId="77777777" w:rsidR="00CE143B" w:rsidRPr="00501F5C" w:rsidRDefault="00CE143B" w:rsidP="009331F3">
            <w:pPr>
              <w:pStyle w:val="Heading3"/>
              <w:outlineLvl w:val="2"/>
              <w:rPr>
                <w:rFonts w:ascii="Arial" w:hAnsi="Arial" w:cs="Arial"/>
                <w:b/>
                <w:bCs/>
                <w:i/>
                <w:iCs/>
                <w:color w:val="auto"/>
                <w:sz w:val="22"/>
                <w:szCs w:val="22"/>
              </w:rPr>
            </w:pPr>
            <w:bookmarkStart w:id="9" w:name="_Ref14258745"/>
            <w:r w:rsidRPr="00501F5C">
              <w:rPr>
                <w:rFonts w:ascii="Arial" w:hAnsi="Arial" w:cs="Arial"/>
                <w:b/>
                <w:bCs/>
                <w:i/>
                <w:iCs/>
                <w:color w:val="auto"/>
                <w:sz w:val="22"/>
                <w:szCs w:val="22"/>
              </w:rPr>
              <w:t>Product: Median Simple Spread</w:t>
            </w:r>
            <w:bookmarkEnd w:id="9"/>
          </w:p>
        </w:tc>
      </w:tr>
    </w:tbl>
    <w:p w14:paraId="22CAAE15" w14:textId="77777777" w:rsidR="00CE143B" w:rsidRDefault="00CE143B" w:rsidP="00E91CD3">
      <w:pPr>
        <w:spacing w:after="0" w:line="240" w:lineRule="auto"/>
        <w:rPr>
          <w:rFonts w:ascii="Arial" w:eastAsia="Times New Roman" w:hAnsi="Arial" w:cs="Arial"/>
          <w:b/>
          <w:snapToGrid w:val="0"/>
          <w:spacing w:val="-3"/>
          <w:szCs w:val="20"/>
          <w:lang w:eastAsia="fr-FR"/>
        </w:rPr>
      </w:pPr>
    </w:p>
    <w:p w14:paraId="54851373" w14:textId="77777777" w:rsidR="00CE143B" w:rsidRDefault="00CE143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Indicators: Median Simple Spread – Large Cap, Mid Cap, Small Cap and Micro Cap</w:t>
      </w:r>
    </w:p>
    <w:p w14:paraId="104808FC" w14:textId="77777777" w:rsidR="00CE143B" w:rsidRDefault="00CE143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Indicators: Median Simple Spread – Top Quartile, Third Quartile, Second Quartile, Lowest Quartile</w:t>
      </w:r>
    </w:p>
    <w:p w14:paraId="6E9D2105" w14:textId="4AF29C7C" w:rsidR="0016483C" w:rsidRDefault="0016483C" w:rsidP="00E91CD3">
      <w:pPr>
        <w:spacing w:after="0" w:line="240" w:lineRule="auto"/>
        <w:jc w:val="both"/>
        <w:rPr>
          <w:rFonts w:ascii="Arial" w:eastAsia="Times New Roman" w:hAnsi="Arial" w:cs="Arial"/>
          <w:snapToGrid w:val="0"/>
          <w:spacing w:val="-3"/>
          <w:sz w:val="20"/>
          <w:szCs w:val="20"/>
          <w:lang w:eastAsia="fr-FR"/>
        </w:rPr>
      </w:pPr>
    </w:p>
    <w:p w14:paraId="368D55BB" w14:textId="64F093BB" w:rsidR="00CE143B" w:rsidRDefault="00CE143B" w:rsidP="00E91CD3">
      <w:pPr>
        <w:spacing w:after="0" w:line="240" w:lineRule="auto"/>
        <w:jc w:val="both"/>
        <w:rPr>
          <w:rFonts w:ascii="Arial" w:eastAsia="Times New Roman" w:hAnsi="Arial" w:cs="Arial"/>
          <w:spacing w:val="-3"/>
          <w:sz w:val="20"/>
        </w:rPr>
      </w:pPr>
      <w:r w:rsidRPr="006E27DC">
        <w:rPr>
          <w:rFonts w:ascii="Arial" w:eastAsia="Times New Roman" w:hAnsi="Arial" w:cs="Arial"/>
          <w:snapToGrid w:val="0"/>
          <w:spacing w:val="-3"/>
          <w:sz w:val="20"/>
          <w:szCs w:val="20"/>
          <w:lang w:eastAsia="fr-FR"/>
        </w:rPr>
        <w:t xml:space="preserve">The median simple spread </w:t>
      </w:r>
      <w:r>
        <w:rPr>
          <w:rFonts w:ascii="Arial" w:eastAsia="Times New Roman" w:hAnsi="Arial" w:cs="Arial"/>
          <w:snapToGrid w:val="0"/>
          <w:spacing w:val="-3"/>
          <w:sz w:val="20"/>
          <w:szCs w:val="20"/>
          <w:lang w:eastAsia="fr-FR"/>
        </w:rPr>
        <w:t xml:space="preserve">(MSS) </w:t>
      </w:r>
      <w:r w:rsidRPr="006E27DC">
        <w:rPr>
          <w:rFonts w:ascii="Arial" w:eastAsia="Times New Roman" w:hAnsi="Arial" w:cs="Arial"/>
          <w:snapToGrid w:val="0"/>
          <w:spacing w:val="-3"/>
          <w:sz w:val="20"/>
          <w:szCs w:val="20"/>
          <w:lang w:eastAsia="fr-FR"/>
        </w:rPr>
        <w:t>is a</w:t>
      </w:r>
      <w:r>
        <w:rPr>
          <w:rFonts w:ascii="Arial" w:eastAsia="Times New Roman" w:hAnsi="Arial" w:cs="Arial"/>
          <w:snapToGrid w:val="0"/>
          <w:spacing w:val="-3"/>
          <w:sz w:val="20"/>
          <w:szCs w:val="20"/>
          <w:lang w:eastAsia="fr-FR"/>
        </w:rPr>
        <w:t xml:space="preserve"> pre-trade </w:t>
      </w:r>
      <w:r w:rsidRPr="006E27DC">
        <w:rPr>
          <w:rFonts w:ascii="Arial" w:eastAsia="Times New Roman" w:hAnsi="Arial" w:cs="Arial"/>
          <w:snapToGrid w:val="0"/>
          <w:spacing w:val="-3"/>
          <w:sz w:val="20"/>
          <w:szCs w:val="20"/>
          <w:lang w:eastAsia="fr-FR"/>
        </w:rPr>
        <w:t>liquidity measure</w:t>
      </w:r>
      <w:r>
        <w:rPr>
          <w:rFonts w:ascii="Arial" w:eastAsia="Times New Roman" w:hAnsi="Arial" w:cs="Arial"/>
          <w:snapToGrid w:val="0"/>
          <w:spacing w:val="-3"/>
          <w:sz w:val="20"/>
          <w:szCs w:val="20"/>
          <w:lang w:eastAsia="fr-FR"/>
        </w:rPr>
        <w:t xml:space="preserve"> calculated </w:t>
      </w:r>
      <w:r w:rsidRPr="00A132D4">
        <w:rPr>
          <w:rFonts w:ascii="Arial" w:eastAsia="Times New Roman" w:hAnsi="Arial" w:cs="Arial"/>
          <w:spacing w:val="-3"/>
          <w:sz w:val="20"/>
        </w:rPr>
        <w:t>using bid/ask spread information</w:t>
      </w:r>
      <w:r>
        <w:rPr>
          <w:rFonts w:ascii="Arial" w:eastAsia="Times New Roman" w:hAnsi="Arial" w:cs="Arial"/>
          <w:spacing w:val="-3"/>
          <w:sz w:val="20"/>
        </w:rPr>
        <w:t xml:space="preserve">. The information is denominated in basis points (Bps). The median simple spread is calculated and presented per market segment, namely large cap, mid cap, small cap and </w:t>
      </w:r>
      <w:proofErr w:type="spellStart"/>
      <w:r>
        <w:rPr>
          <w:rFonts w:ascii="Arial" w:eastAsia="Times New Roman" w:hAnsi="Arial" w:cs="Arial"/>
          <w:spacing w:val="-3"/>
          <w:sz w:val="20"/>
        </w:rPr>
        <w:t>micro cap</w:t>
      </w:r>
      <w:proofErr w:type="spellEnd"/>
      <w:r>
        <w:rPr>
          <w:rFonts w:ascii="Arial" w:eastAsia="Times New Roman" w:hAnsi="Arial" w:cs="Arial"/>
          <w:spacing w:val="-3"/>
          <w:sz w:val="20"/>
        </w:rPr>
        <w:t>. The segmentation is as follows:</w:t>
      </w:r>
    </w:p>
    <w:p w14:paraId="7C606185" w14:textId="77777777" w:rsidR="00E91CD3" w:rsidRDefault="00E91CD3" w:rsidP="00E91CD3">
      <w:pPr>
        <w:spacing w:after="0" w:line="240" w:lineRule="auto"/>
        <w:jc w:val="both"/>
        <w:rPr>
          <w:rFonts w:ascii="Arial" w:eastAsia="Times New Roman" w:hAnsi="Arial" w:cs="Arial"/>
          <w:spacing w:val="-3"/>
          <w:sz w:val="20"/>
        </w:rPr>
      </w:pPr>
    </w:p>
    <w:p w14:paraId="671ECAE3" w14:textId="77777777" w:rsidR="00CE143B" w:rsidRDefault="00CE143B" w:rsidP="00E91CD3">
      <w:pPr>
        <w:pStyle w:val="ListParagraph"/>
        <w:numPr>
          <w:ilvl w:val="0"/>
          <w:numId w:val="5"/>
        </w:numPr>
        <w:jc w:val="both"/>
        <w:rPr>
          <w:rFonts w:ascii="Arial" w:hAnsi="Arial" w:cs="Arial"/>
          <w:spacing w:val="-3"/>
          <w:sz w:val="20"/>
        </w:rPr>
      </w:pPr>
      <w:r w:rsidRPr="00DB4A52">
        <w:rPr>
          <w:rFonts w:ascii="Arial" w:hAnsi="Arial" w:cs="Arial"/>
          <w:spacing w:val="-3"/>
          <w:sz w:val="20"/>
        </w:rPr>
        <w:t>Large</w:t>
      </w:r>
      <w:r>
        <w:rPr>
          <w:rFonts w:ascii="Arial" w:hAnsi="Arial" w:cs="Arial"/>
          <w:spacing w:val="-3"/>
          <w:sz w:val="20"/>
        </w:rPr>
        <w:t xml:space="preserve"> </w:t>
      </w:r>
      <w:r w:rsidRPr="00DB4A52">
        <w:rPr>
          <w:rFonts w:ascii="Arial" w:hAnsi="Arial" w:cs="Arial"/>
          <w:spacing w:val="-3"/>
          <w:sz w:val="20"/>
        </w:rPr>
        <w:t xml:space="preserve">cap: market cap &gt; USD 1.3 </w:t>
      </w:r>
      <w:proofErr w:type="spellStart"/>
      <w:r w:rsidRPr="00DB4A52">
        <w:rPr>
          <w:rFonts w:ascii="Arial" w:hAnsi="Arial" w:cs="Arial"/>
          <w:spacing w:val="-3"/>
          <w:sz w:val="20"/>
        </w:rPr>
        <w:t>bn</w:t>
      </w:r>
      <w:proofErr w:type="spellEnd"/>
    </w:p>
    <w:p w14:paraId="235A4C25" w14:textId="77777777" w:rsidR="00CE143B" w:rsidRDefault="00CE143B" w:rsidP="00E91CD3">
      <w:pPr>
        <w:pStyle w:val="ListParagraph"/>
        <w:numPr>
          <w:ilvl w:val="0"/>
          <w:numId w:val="5"/>
        </w:numPr>
        <w:jc w:val="both"/>
        <w:rPr>
          <w:rFonts w:ascii="Arial" w:hAnsi="Arial" w:cs="Arial"/>
          <w:spacing w:val="-3"/>
          <w:sz w:val="20"/>
        </w:rPr>
      </w:pPr>
      <w:r w:rsidRPr="00DB4A52">
        <w:rPr>
          <w:rFonts w:ascii="Arial" w:hAnsi="Arial" w:cs="Arial"/>
          <w:spacing w:val="-3"/>
          <w:sz w:val="20"/>
        </w:rPr>
        <w:t xml:space="preserve">Mid cap: USD 1.3 </w:t>
      </w:r>
      <w:proofErr w:type="spellStart"/>
      <w:r w:rsidRPr="00DB4A52">
        <w:rPr>
          <w:rFonts w:ascii="Arial" w:hAnsi="Arial" w:cs="Arial"/>
          <w:spacing w:val="-3"/>
          <w:sz w:val="20"/>
        </w:rPr>
        <w:t>bn</w:t>
      </w:r>
      <w:proofErr w:type="spellEnd"/>
      <w:r w:rsidRPr="00DB4A52">
        <w:rPr>
          <w:rFonts w:ascii="Arial" w:hAnsi="Arial" w:cs="Arial"/>
          <w:spacing w:val="-3"/>
          <w:sz w:val="20"/>
        </w:rPr>
        <w:t xml:space="preserve"> &gt; market cap &gt; USD 200 m</w:t>
      </w:r>
    </w:p>
    <w:p w14:paraId="5A27ED93" w14:textId="77777777" w:rsidR="00CE143B" w:rsidRDefault="00CE143B" w:rsidP="00E91CD3">
      <w:pPr>
        <w:pStyle w:val="ListParagraph"/>
        <w:numPr>
          <w:ilvl w:val="0"/>
          <w:numId w:val="5"/>
        </w:numPr>
        <w:jc w:val="both"/>
        <w:rPr>
          <w:rFonts w:ascii="Arial" w:hAnsi="Arial" w:cs="Arial"/>
          <w:spacing w:val="-3"/>
          <w:sz w:val="20"/>
        </w:rPr>
      </w:pPr>
      <w:r w:rsidRPr="00DB4A52">
        <w:rPr>
          <w:rFonts w:ascii="Arial" w:hAnsi="Arial" w:cs="Arial"/>
          <w:spacing w:val="-3"/>
          <w:sz w:val="20"/>
        </w:rPr>
        <w:t>Small cap: USD 200 m &gt; market cap &gt; USD 65 m</w:t>
      </w:r>
    </w:p>
    <w:p w14:paraId="48D1FAD7" w14:textId="77777777" w:rsidR="00CE143B" w:rsidRDefault="00CE143B" w:rsidP="00E91CD3">
      <w:pPr>
        <w:pStyle w:val="ListParagraph"/>
        <w:numPr>
          <w:ilvl w:val="0"/>
          <w:numId w:val="5"/>
        </w:numPr>
        <w:jc w:val="both"/>
        <w:rPr>
          <w:rFonts w:ascii="Arial" w:hAnsi="Arial" w:cs="Arial"/>
          <w:b/>
          <w:spacing w:val="-3"/>
          <w:sz w:val="20"/>
        </w:rPr>
      </w:pPr>
      <w:r w:rsidRPr="00DB4A52">
        <w:rPr>
          <w:rFonts w:ascii="Arial" w:hAnsi="Arial" w:cs="Arial"/>
          <w:spacing w:val="-3"/>
          <w:sz w:val="20"/>
        </w:rPr>
        <w:t>Micro cap: market cap &lt; USD 65 m</w:t>
      </w:r>
    </w:p>
    <w:p w14:paraId="3A90ED29" w14:textId="77777777" w:rsidR="00CE143B" w:rsidRDefault="00CE143B" w:rsidP="00E91CD3">
      <w:pPr>
        <w:spacing w:after="0" w:line="240" w:lineRule="auto"/>
        <w:jc w:val="both"/>
        <w:rPr>
          <w:rFonts w:ascii="Arial" w:hAnsi="Arial" w:cs="Arial"/>
          <w:b/>
          <w:snapToGrid w:val="0"/>
          <w:spacing w:val="-3"/>
          <w:sz w:val="20"/>
        </w:rPr>
      </w:pPr>
    </w:p>
    <w:p w14:paraId="64E71CAD" w14:textId="30EA0DFC" w:rsidR="00CE143B" w:rsidRDefault="00CE143B" w:rsidP="00E91CD3">
      <w:pPr>
        <w:spacing w:after="0" w:line="240" w:lineRule="auto"/>
        <w:jc w:val="both"/>
        <w:rPr>
          <w:rFonts w:ascii="Arial" w:hAnsi="Arial" w:cs="Arial"/>
          <w:snapToGrid w:val="0"/>
          <w:spacing w:val="-3"/>
          <w:sz w:val="20"/>
        </w:rPr>
      </w:pPr>
      <w:r w:rsidRPr="009735F3">
        <w:rPr>
          <w:rFonts w:ascii="Arial" w:hAnsi="Arial" w:cs="Arial"/>
          <w:snapToGrid w:val="0"/>
          <w:spacing w:val="-3"/>
          <w:sz w:val="20"/>
        </w:rPr>
        <w:t xml:space="preserve">Larger markets </w:t>
      </w:r>
      <w:r>
        <w:rPr>
          <w:rFonts w:ascii="Arial" w:hAnsi="Arial" w:cs="Arial"/>
          <w:snapToGrid w:val="0"/>
          <w:spacing w:val="-3"/>
          <w:sz w:val="20"/>
        </w:rPr>
        <w:t xml:space="preserve">also split the </w:t>
      </w:r>
      <w:r w:rsidRPr="009735F3">
        <w:rPr>
          <w:rFonts w:ascii="Arial" w:hAnsi="Arial" w:cs="Arial"/>
          <w:snapToGrid w:val="0"/>
          <w:spacing w:val="-3"/>
          <w:sz w:val="20"/>
        </w:rPr>
        <w:t xml:space="preserve">Large Cap segment into quartiles and </w:t>
      </w:r>
      <w:r>
        <w:rPr>
          <w:rFonts w:ascii="Arial" w:hAnsi="Arial" w:cs="Arial"/>
          <w:snapToGrid w:val="0"/>
          <w:spacing w:val="-3"/>
          <w:sz w:val="20"/>
        </w:rPr>
        <w:t>provide</w:t>
      </w:r>
      <w:r w:rsidRPr="009735F3">
        <w:rPr>
          <w:rFonts w:ascii="Arial" w:hAnsi="Arial" w:cs="Arial"/>
          <w:snapToGrid w:val="0"/>
          <w:spacing w:val="-3"/>
          <w:sz w:val="20"/>
        </w:rPr>
        <w:t xml:space="preserve"> MSS data for each of the Large Cap quartiles.</w:t>
      </w:r>
    </w:p>
    <w:p w14:paraId="1E274E39" w14:textId="77777777" w:rsidR="00E91CD3" w:rsidRPr="009735F3" w:rsidRDefault="00E91CD3" w:rsidP="00E91CD3">
      <w:pPr>
        <w:spacing w:after="0" w:line="240" w:lineRule="auto"/>
        <w:jc w:val="both"/>
        <w:rPr>
          <w:rFonts w:ascii="Arial" w:hAnsi="Arial" w:cs="Arial"/>
          <w:snapToGrid w:val="0"/>
          <w:spacing w:val="-3"/>
          <w:sz w:val="20"/>
        </w:rPr>
      </w:pPr>
    </w:p>
    <w:p w14:paraId="11441070" w14:textId="502A39D0" w:rsidR="00CE143B" w:rsidRDefault="00CE143B" w:rsidP="00E91CD3">
      <w:pPr>
        <w:spacing w:after="0" w:line="240" w:lineRule="auto"/>
        <w:jc w:val="both"/>
        <w:rPr>
          <w:rFonts w:ascii="Arial" w:hAnsi="Arial" w:cs="Arial"/>
          <w:snapToGrid w:val="0"/>
          <w:spacing w:val="-3"/>
          <w:sz w:val="20"/>
        </w:rPr>
      </w:pPr>
      <w:r>
        <w:rPr>
          <w:rFonts w:ascii="Arial" w:hAnsi="Arial" w:cs="Arial"/>
          <w:snapToGrid w:val="0"/>
          <w:spacing w:val="-3"/>
          <w:sz w:val="20"/>
        </w:rPr>
        <w:t xml:space="preserve">The formula for calculating MSS is: </w:t>
      </w:r>
    </w:p>
    <w:p w14:paraId="7EF8B767" w14:textId="77777777" w:rsidR="0003401D" w:rsidRDefault="0003401D" w:rsidP="00E91CD3">
      <w:pPr>
        <w:spacing w:after="0" w:line="240" w:lineRule="auto"/>
        <w:jc w:val="both"/>
        <w:rPr>
          <w:rFonts w:ascii="Arial" w:hAnsi="Arial" w:cs="Arial"/>
          <w:snapToGrid w:val="0"/>
          <w:spacing w:val="-3"/>
          <w:sz w:val="20"/>
        </w:rPr>
      </w:pPr>
    </w:p>
    <w:p w14:paraId="7B374844" w14:textId="7FC1508B" w:rsidR="00CE143B" w:rsidRDefault="00CE143B" w:rsidP="00E91CD3">
      <w:pPr>
        <w:spacing w:after="0" w:line="240" w:lineRule="auto"/>
        <w:jc w:val="center"/>
        <w:rPr>
          <w:rFonts w:ascii="Arial" w:hAnsi="Arial" w:cs="Arial"/>
          <w:i/>
          <w:snapToGrid w:val="0"/>
          <w:spacing w:val="-3"/>
          <w:sz w:val="20"/>
        </w:rPr>
      </w:pPr>
      <w:r w:rsidRPr="005D1DB2">
        <w:rPr>
          <w:rFonts w:ascii="Arial" w:hAnsi="Arial" w:cs="Arial"/>
          <w:i/>
          <w:snapToGrid w:val="0"/>
          <w:spacing w:val="-3"/>
          <w:sz w:val="20"/>
        </w:rPr>
        <w:t>[(Best Ask Price - Best Bid Price)</w:t>
      </w:r>
      <w:proofErr w:type="gramStart"/>
      <w:r w:rsidRPr="005D1DB2">
        <w:rPr>
          <w:rFonts w:ascii="Arial" w:hAnsi="Arial" w:cs="Arial"/>
          <w:i/>
          <w:snapToGrid w:val="0"/>
          <w:spacing w:val="-3"/>
          <w:sz w:val="20"/>
        </w:rPr>
        <w:t>/(</w:t>
      </w:r>
      <w:proofErr w:type="gramEnd"/>
      <w:r w:rsidRPr="005D1DB2">
        <w:rPr>
          <w:rFonts w:ascii="Arial" w:hAnsi="Arial" w:cs="Arial"/>
          <w:i/>
          <w:snapToGrid w:val="0"/>
          <w:spacing w:val="-3"/>
          <w:sz w:val="20"/>
        </w:rPr>
        <w:t>(Best Ask Price + Best Bid Price)/ 2)]*10000</w:t>
      </w:r>
    </w:p>
    <w:p w14:paraId="363BD869" w14:textId="77777777" w:rsidR="00E91CD3" w:rsidRDefault="00E91CD3" w:rsidP="00E91CD3">
      <w:pPr>
        <w:spacing w:after="0" w:line="240" w:lineRule="auto"/>
        <w:jc w:val="center"/>
        <w:rPr>
          <w:rFonts w:ascii="Arial" w:hAnsi="Arial" w:cs="Arial"/>
          <w:i/>
          <w:snapToGrid w:val="0"/>
          <w:spacing w:val="-3"/>
          <w:sz w:val="20"/>
        </w:rPr>
      </w:pPr>
    </w:p>
    <w:p w14:paraId="74C2A2FF" w14:textId="55FEA0C9" w:rsidR="00CE143B" w:rsidRDefault="00CE143B" w:rsidP="008D2DDB">
      <w:pPr>
        <w:rPr>
          <w:rFonts w:ascii="Arial" w:hAnsi="Arial" w:cs="Arial"/>
          <w:snapToGrid w:val="0"/>
          <w:spacing w:val="-3"/>
          <w:sz w:val="20"/>
        </w:rPr>
      </w:pPr>
      <w:r>
        <w:rPr>
          <w:rFonts w:ascii="Arial" w:hAnsi="Arial" w:cs="Arial"/>
          <w:snapToGrid w:val="0"/>
          <w:spacing w:val="-3"/>
          <w:sz w:val="20"/>
        </w:rPr>
        <w:t xml:space="preserve">In addition to the relevant MSS figures for each segment and quartile, exchanges also provide information about the </w:t>
      </w:r>
      <w:r w:rsidR="008D2DDB">
        <w:rPr>
          <w:rFonts w:ascii="Arial" w:hAnsi="Arial" w:cs="Arial"/>
          <w:snapToGrid w:val="0"/>
          <w:spacing w:val="-3"/>
          <w:sz w:val="20"/>
        </w:rPr>
        <w:t xml:space="preserve">Market Capitalisation and Number of listed companies </w:t>
      </w:r>
      <w:r w:rsidRPr="0003401D">
        <w:rPr>
          <w:rFonts w:ascii="Arial" w:hAnsi="Arial" w:cs="Arial"/>
          <w:snapToGrid w:val="0"/>
          <w:spacing w:val="-3"/>
          <w:sz w:val="20"/>
          <w:szCs w:val="20"/>
        </w:rPr>
        <w:t>i</w:t>
      </w:r>
      <w:r>
        <w:rPr>
          <w:rFonts w:ascii="Arial" w:hAnsi="Arial" w:cs="Arial"/>
          <w:snapToGrid w:val="0"/>
          <w:spacing w:val="-3"/>
          <w:sz w:val="20"/>
        </w:rPr>
        <w:t>n each of the relevant segments.</w:t>
      </w:r>
      <w:r w:rsidR="00335B20">
        <w:rPr>
          <w:rFonts w:ascii="Arial" w:hAnsi="Arial" w:cs="Arial"/>
          <w:snapToGrid w:val="0"/>
          <w:spacing w:val="-3"/>
          <w:sz w:val="20"/>
        </w:rPr>
        <w:t xml:space="preserve"> </w:t>
      </w:r>
    </w:p>
    <w:p w14:paraId="5CA2D338" w14:textId="6D8E0241" w:rsidR="00806CE3" w:rsidRDefault="00806CE3" w:rsidP="00E91CD3">
      <w:pPr>
        <w:suppressAutoHyphens/>
        <w:spacing w:after="0" w:line="240" w:lineRule="auto"/>
        <w:jc w:val="both"/>
        <w:rPr>
          <w:rFonts w:ascii="Arial" w:hAnsi="Arial" w:cs="Arial"/>
          <w:snapToGrid w:val="0"/>
          <w:spacing w:val="-3"/>
          <w:sz w:val="20"/>
        </w:rPr>
      </w:pPr>
    </w:p>
    <w:p w14:paraId="7BF95B90" w14:textId="62FD28B5" w:rsidR="00806CE3" w:rsidRDefault="00806CE3" w:rsidP="00E91CD3">
      <w:pPr>
        <w:suppressAutoHyphens/>
        <w:spacing w:after="0" w:line="240" w:lineRule="auto"/>
        <w:jc w:val="both"/>
        <w:rPr>
          <w:rFonts w:ascii="Arial" w:hAnsi="Arial" w:cs="Arial"/>
          <w:snapToGrid w:val="0"/>
          <w:spacing w:val="-3"/>
          <w:sz w:val="20"/>
        </w:rPr>
      </w:pPr>
      <w:r>
        <w:rPr>
          <w:rFonts w:ascii="Arial" w:hAnsi="Arial" w:cs="Arial"/>
          <w:snapToGrid w:val="0"/>
          <w:spacing w:val="-3"/>
          <w:sz w:val="20"/>
        </w:rPr>
        <w:t xml:space="preserve">The WFE started collecting MSS data in January 2016. The list of exchanges providing MSS data is </w:t>
      </w:r>
      <w:r w:rsidR="007D4C01">
        <w:rPr>
          <w:rFonts w:ascii="Arial" w:hAnsi="Arial" w:cs="Arial"/>
          <w:snapToGrid w:val="0"/>
          <w:spacing w:val="-3"/>
          <w:sz w:val="20"/>
        </w:rPr>
        <w:t>available</w:t>
      </w:r>
      <w:r w:rsidR="00ED600A">
        <w:rPr>
          <w:rFonts w:ascii="Arial" w:hAnsi="Arial" w:cs="Arial"/>
          <w:snapToGrid w:val="0"/>
          <w:spacing w:val="-3"/>
          <w:sz w:val="20"/>
        </w:rPr>
        <w:t xml:space="preserve"> here:</w:t>
      </w:r>
      <w:r w:rsidR="007D4C01">
        <w:rPr>
          <w:rFonts w:ascii="Arial" w:hAnsi="Arial" w:cs="Arial"/>
          <w:snapToGrid w:val="0"/>
          <w:spacing w:val="-3"/>
          <w:sz w:val="20"/>
        </w:rPr>
        <w:t xml:space="preserve"> </w:t>
      </w:r>
      <w:r w:rsidR="007D4C01" w:rsidRPr="00ED600A">
        <w:rPr>
          <w:rFonts w:ascii="Arial" w:hAnsi="Arial" w:cs="Arial"/>
          <w:snapToGrid w:val="0"/>
          <w:color w:val="44546A" w:themeColor="text2"/>
          <w:spacing w:val="-3"/>
          <w:sz w:val="20"/>
          <w:szCs w:val="20"/>
          <w:u w:val="single"/>
        </w:rPr>
        <w:fldChar w:fldCharType="begin"/>
      </w:r>
      <w:r w:rsidR="007D4C01" w:rsidRPr="00ED600A">
        <w:rPr>
          <w:rFonts w:ascii="Arial" w:hAnsi="Arial" w:cs="Arial"/>
          <w:snapToGrid w:val="0"/>
          <w:color w:val="44546A" w:themeColor="text2"/>
          <w:spacing w:val="-3"/>
          <w:sz w:val="20"/>
          <w:szCs w:val="20"/>
          <w:u w:val="single"/>
        </w:rPr>
        <w:instrText xml:space="preserve"> REF _Ref14257871 \h </w:instrText>
      </w:r>
      <w:r w:rsidR="00ED600A" w:rsidRPr="00ED600A">
        <w:rPr>
          <w:rFonts w:ascii="Arial" w:hAnsi="Arial" w:cs="Arial"/>
          <w:snapToGrid w:val="0"/>
          <w:color w:val="44546A" w:themeColor="text2"/>
          <w:spacing w:val="-3"/>
          <w:sz w:val="20"/>
          <w:szCs w:val="20"/>
          <w:u w:val="single"/>
        </w:rPr>
        <w:instrText xml:space="preserve"> \* MERGEFORMAT </w:instrText>
      </w:r>
      <w:r w:rsidR="007D4C01" w:rsidRPr="00ED600A">
        <w:rPr>
          <w:rFonts w:ascii="Arial" w:hAnsi="Arial" w:cs="Arial"/>
          <w:snapToGrid w:val="0"/>
          <w:color w:val="44546A" w:themeColor="text2"/>
          <w:spacing w:val="-3"/>
          <w:sz w:val="20"/>
          <w:szCs w:val="20"/>
          <w:u w:val="single"/>
        </w:rPr>
      </w:r>
      <w:r w:rsidR="007D4C01" w:rsidRPr="00ED600A">
        <w:rPr>
          <w:rFonts w:ascii="Arial" w:hAnsi="Arial" w:cs="Arial"/>
          <w:snapToGrid w:val="0"/>
          <w:color w:val="44546A" w:themeColor="text2"/>
          <w:spacing w:val="-3"/>
          <w:sz w:val="20"/>
          <w:szCs w:val="20"/>
          <w:u w:val="single"/>
        </w:rPr>
        <w:fldChar w:fldCharType="separate"/>
      </w:r>
      <w:r w:rsidR="0094528E" w:rsidRPr="0094528E">
        <w:rPr>
          <w:rFonts w:ascii="Arial" w:hAnsi="Arial" w:cs="Arial"/>
          <w:color w:val="44546A" w:themeColor="text2"/>
          <w:sz w:val="20"/>
          <w:szCs w:val="20"/>
          <w:u w:val="single"/>
        </w:rPr>
        <w:t>Appendix 2: Exchanges submitting Median Simple Spread data (as at August 2019)</w:t>
      </w:r>
      <w:r w:rsidR="007D4C01" w:rsidRPr="00ED600A">
        <w:rPr>
          <w:rFonts w:ascii="Arial" w:hAnsi="Arial" w:cs="Arial"/>
          <w:snapToGrid w:val="0"/>
          <w:color w:val="44546A" w:themeColor="text2"/>
          <w:spacing w:val="-3"/>
          <w:sz w:val="20"/>
          <w:szCs w:val="20"/>
          <w:u w:val="single"/>
        </w:rPr>
        <w:fldChar w:fldCharType="end"/>
      </w:r>
      <w:r w:rsidR="007D4C01">
        <w:rPr>
          <w:rFonts w:ascii="Arial" w:hAnsi="Arial" w:cs="Arial"/>
          <w:snapToGrid w:val="0"/>
          <w:spacing w:val="-3"/>
          <w:sz w:val="20"/>
        </w:rPr>
        <w:t>.</w:t>
      </w:r>
    </w:p>
    <w:p w14:paraId="7E1827F1" w14:textId="77777777" w:rsidR="00E91CD3" w:rsidRPr="00AF35EF" w:rsidRDefault="00E91CD3" w:rsidP="00E91CD3">
      <w:pPr>
        <w:suppressAutoHyphens/>
        <w:spacing w:after="0" w:line="240" w:lineRule="auto"/>
        <w:jc w:val="both"/>
        <w:rPr>
          <w:rFonts w:ascii="Arial" w:hAnsi="Arial" w:cs="Arial"/>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424B52" w:rsidRPr="00501F5C" w14:paraId="3F747D7B" w14:textId="77777777" w:rsidTr="006611A2">
        <w:tc>
          <w:tcPr>
            <w:tcW w:w="9016" w:type="dxa"/>
          </w:tcPr>
          <w:p w14:paraId="0987F2A6" w14:textId="481BB0E6" w:rsidR="00424B52" w:rsidRPr="00501F5C" w:rsidRDefault="00424B52" w:rsidP="009331F3">
            <w:pPr>
              <w:pStyle w:val="Heading3"/>
              <w:outlineLvl w:val="2"/>
              <w:rPr>
                <w:rFonts w:ascii="Arial" w:hAnsi="Arial" w:cs="Arial"/>
                <w:b/>
                <w:bCs/>
                <w:i/>
                <w:iCs/>
                <w:color w:val="auto"/>
                <w:sz w:val="22"/>
                <w:szCs w:val="22"/>
              </w:rPr>
            </w:pPr>
            <w:bookmarkStart w:id="10" w:name="_Ref14259215"/>
            <w:r w:rsidRPr="00501F5C">
              <w:rPr>
                <w:rFonts w:ascii="Arial" w:hAnsi="Arial" w:cs="Arial"/>
                <w:b/>
                <w:bCs/>
                <w:i/>
                <w:iCs/>
                <w:color w:val="auto"/>
                <w:sz w:val="22"/>
                <w:szCs w:val="22"/>
              </w:rPr>
              <w:t xml:space="preserve">Product: Granular </w:t>
            </w:r>
            <w:r w:rsidR="005E6397" w:rsidRPr="00501F5C">
              <w:rPr>
                <w:rFonts w:ascii="Arial" w:hAnsi="Arial" w:cs="Arial"/>
                <w:b/>
                <w:bCs/>
                <w:i/>
                <w:iCs/>
                <w:color w:val="auto"/>
                <w:sz w:val="22"/>
                <w:szCs w:val="22"/>
              </w:rPr>
              <w:t>IPO</w:t>
            </w:r>
            <w:r w:rsidRPr="00501F5C">
              <w:rPr>
                <w:rFonts w:ascii="Arial" w:hAnsi="Arial" w:cs="Arial"/>
                <w:b/>
                <w:bCs/>
                <w:i/>
                <w:iCs/>
                <w:color w:val="auto"/>
                <w:sz w:val="22"/>
                <w:szCs w:val="22"/>
              </w:rPr>
              <w:t xml:space="preserve"> level capital raised</w:t>
            </w:r>
            <w:bookmarkEnd w:id="10"/>
            <w:r w:rsidR="000E00C1">
              <w:rPr>
                <w:rStyle w:val="FootnoteReference"/>
                <w:rFonts w:ascii="Arial" w:hAnsi="Arial" w:cs="Arial"/>
                <w:b/>
                <w:bCs/>
                <w:i/>
                <w:iCs/>
                <w:color w:val="auto"/>
                <w:sz w:val="22"/>
                <w:szCs w:val="22"/>
              </w:rPr>
              <w:footnoteReference w:id="2"/>
            </w:r>
          </w:p>
        </w:tc>
      </w:tr>
    </w:tbl>
    <w:p w14:paraId="72FEB3D8" w14:textId="77777777" w:rsidR="00424B52" w:rsidRDefault="00424B52" w:rsidP="00E91CD3">
      <w:pPr>
        <w:spacing w:after="0" w:line="240" w:lineRule="auto"/>
        <w:rPr>
          <w:rFonts w:ascii="Arial" w:eastAsia="Times New Roman" w:hAnsi="Arial" w:cs="Arial"/>
          <w:b/>
          <w:snapToGrid w:val="0"/>
          <w:spacing w:val="-3"/>
          <w:szCs w:val="20"/>
          <w:lang w:eastAsia="fr-FR"/>
        </w:rPr>
      </w:pPr>
    </w:p>
    <w:p w14:paraId="1775A4DB" w14:textId="667A6684"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This database contains granular, company-level information on new listings through </w:t>
      </w:r>
      <w:r w:rsidRPr="000E00C1">
        <w:rPr>
          <w:rFonts w:ascii="Arial" w:eastAsia="Times New Roman" w:hAnsi="Arial" w:cs="Arial"/>
          <w:snapToGrid w:val="0"/>
          <w:spacing w:val="-3"/>
          <w:lang w:eastAsia="fr-FR"/>
        </w:rPr>
        <w:fldChar w:fldCharType="begin"/>
      </w:r>
      <w:r w:rsidRPr="000E00C1">
        <w:rPr>
          <w:rFonts w:ascii="Arial" w:eastAsia="Times New Roman" w:hAnsi="Arial" w:cs="Arial"/>
          <w:snapToGrid w:val="0"/>
          <w:spacing w:val="-3"/>
          <w:lang w:eastAsia="fr-FR"/>
        </w:rPr>
        <w:instrText xml:space="preserve"> REF _Ref13549272 \h  \* MERGEFORMAT </w:instrText>
      </w:r>
      <w:r w:rsidRPr="000E00C1">
        <w:rPr>
          <w:rFonts w:ascii="Arial" w:eastAsia="Times New Roman" w:hAnsi="Arial" w:cs="Arial"/>
          <w:snapToGrid w:val="0"/>
          <w:spacing w:val="-3"/>
          <w:lang w:eastAsia="fr-FR"/>
        </w:rPr>
      </w:r>
      <w:r w:rsidRPr="000E00C1">
        <w:rPr>
          <w:rFonts w:ascii="Arial" w:eastAsia="Times New Roman" w:hAnsi="Arial" w:cs="Arial"/>
          <w:snapToGrid w:val="0"/>
          <w:spacing w:val="-3"/>
          <w:lang w:eastAsia="fr-FR"/>
        </w:rPr>
        <w:fldChar w:fldCharType="separate"/>
      </w:r>
      <w:r w:rsidR="0094528E" w:rsidRPr="0094528E">
        <w:rPr>
          <w:rFonts w:ascii="Arial" w:eastAsia="Times New Roman" w:hAnsi="Arial" w:cs="Arial"/>
          <w:snapToGrid w:val="0"/>
          <w:spacing w:val="-3"/>
          <w:lang w:eastAsia="fr-FR"/>
        </w:rPr>
        <w:t>Initial Public Offering</w:t>
      </w:r>
      <w:r w:rsidRPr="000E00C1">
        <w:rPr>
          <w:rFonts w:ascii="Arial" w:eastAsia="Times New Roman" w:hAnsi="Arial" w:cs="Arial"/>
          <w:snapToGrid w:val="0"/>
          <w:spacing w:val="-3"/>
          <w:lang w:eastAsia="fr-FR"/>
        </w:rPr>
        <w:fldChar w:fldCharType="end"/>
      </w:r>
      <w:r w:rsidRPr="000E00C1">
        <w:rPr>
          <w:rFonts w:ascii="Arial" w:eastAsia="Times New Roman" w:hAnsi="Arial" w:cs="Arial"/>
          <w:snapToGrid w:val="0"/>
          <w:spacing w:val="-3"/>
          <w:lang w:eastAsia="fr-FR"/>
        </w:rPr>
        <w:t xml:space="preserve"> (IPO) taking place on equity markets. Only listings of </w:t>
      </w:r>
      <w:r w:rsidRPr="000E00C1">
        <w:rPr>
          <w:rFonts w:ascii="Arial" w:eastAsia="Times New Roman" w:hAnsi="Arial" w:cs="Arial"/>
          <w:b/>
          <w:bCs/>
          <w:snapToGrid w:val="0"/>
          <w:spacing w:val="-3"/>
          <w:lang w:eastAsia="fr-FR"/>
        </w:rPr>
        <w:t>plain vanilla equities</w:t>
      </w:r>
      <w:r w:rsidRPr="000E00C1">
        <w:rPr>
          <w:rFonts w:ascii="Arial" w:eastAsia="Times New Roman" w:hAnsi="Arial" w:cs="Arial"/>
          <w:snapToGrid w:val="0"/>
          <w:spacing w:val="-3"/>
          <w:lang w:eastAsia="fr-FR"/>
        </w:rPr>
        <w:t xml:space="preserve"> (stocks) are included in this database. Listings of other financial instruments (such as ETFs, investment funds, GDRs, Capital Pool Companies) are </w:t>
      </w:r>
      <w:r w:rsidRPr="000E00C1">
        <w:rPr>
          <w:rFonts w:ascii="Arial" w:eastAsia="Times New Roman" w:hAnsi="Arial" w:cs="Arial"/>
          <w:snapToGrid w:val="0"/>
          <w:spacing w:val="-3"/>
          <w:u w:val="single"/>
          <w:lang w:eastAsia="fr-FR"/>
        </w:rPr>
        <w:t>excluded</w:t>
      </w:r>
      <w:r w:rsidRPr="000E00C1">
        <w:rPr>
          <w:rFonts w:ascii="Arial" w:eastAsia="Times New Roman" w:hAnsi="Arial" w:cs="Arial"/>
          <w:snapToGrid w:val="0"/>
          <w:spacing w:val="-3"/>
          <w:lang w:eastAsia="fr-FR"/>
        </w:rPr>
        <w:t>. Data is collected monthly. The database is comprised of the following indicators:</w:t>
      </w:r>
    </w:p>
    <w:p w14:paraId="174222B4"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Company name</w:t>
      </w:r>
    </w:p>
    <w:p w14:paraId="5F3A0F42"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snapToGrid w:val="0"/>
          <w:spacing w:val="-3"/>
          <w:lang w:eastAsia="fr-FR"/>
        </w:rPr>
        <w:t>The full name of the company listing on the exchange, including their legal entity type when applicable (i.e. Ltd, SA, Spa etc.).</w:t>
      </w:r>
    </w:p>
    <w:p w14:paraId="516835D6"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Listing date</w:t>
      </w:r>
    </w:p>
    <w:p w14:paraId="25E62AEF"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snapToGrid w:val="0"/>
          <w:spacing w:val="-3"/>
          <w:lang w:eastAsia="fr-FR"/>
        </w:rPr>
        <w:t>The day, month and year when the company is listed.</w:t>
      </w:r>
    </w:p>
    <w:p w14:paraId="0A09E4A6"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Listing venue</w:t>
      </w:r>
    </w:p>
    <w:p w14:paraId="38957545"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lastRenderedPageBreak/>
        <w:t xml:space="preserve">Companies with SME boards or alternative markets should indicate whether the company is listed on the main board, or on another board (such as an SME board or an alternative market). If the company is listed on the main board, data submitters should simply indicate so (“Main board”). If the company is listed on another board, data submitters should provide the name of the board (“AIM Italia”). </w:t>
      </w:r>
    </w:p>
    <w:p w14:paraId="58C09E0C"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ISIN</w:t>
      </w:r>
    </w:p>
    <w:p w14:paraId="707C2539"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The ISIN associated with the newly listed instrument. </w:t>
      </w:r>
    </w:p>
    <w:p w14:paraId="65ACE701"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Foreign/Domestic</w:t>
      </w:r>
    </w:p>
    <w:p w14:paraId="3526EF66"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An indicator of whether the company is incorporated in the country where it is listing (Domestic) or incorporated in a different country from the one where it is listing (Foreign).</w:t>
      </w:r>
    </w:p>
    <w:p w14:paraId="31BAF452"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Country of incorporation of the company</w:t>
      </w:r>
    </w:p>
    <w:p w14:paraId="6C3BC694"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The country in which the company is incorporated or legally registered. Data submitters should use the ISO 3166 3-digit alpha code.</w:t>
      </w:r>
      <w:r w:rsidRPr="000E00C1">
        <w:rPr>
          <w:rStyle w:val="FootnoteReference"/>
          <w:rFonts w:ascii="Arial" w:eastAsia="Times New Roman" w:hAnsi="Arial" w:cs="Arial"/>
          <w:snapToGrid w:val="0"/>
          <w:spacing w:val="-3"/>
          <w:lang w:eastAsia="fr-FR"/>
        </w:rPr>
        <w:footnoteReference w:id="3"/>
      </w:r>
    </w:p>
    <w:p w14:paraId="4C3DFEF8"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 xml:space="preserve">Indicator: Sector of activity   </w:t>
      </w:r>
    </w:p>
    <w:p w14:paraId="016B5CD2"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The sector of activity of the company, identified through </w:t>
      </w:r>
      <w:r w:rsidRPr="000E00C1">
        <w:rPr>
          <w:rFonts w:ascii="Arial" w:eastAsia="Times New Roman" w:hAnsi="Arial" w:cs="Arial"/>
          <w:b/>
          <w:bCs/>
          <w:snapToGrid w:val="0"/>
          <w:spacing w:val="-3"/>
          <w:lang w:eastAsia="fr-FR"/>
        </w:rPr>
        <w:t>either</w:t>
      </w:r>
      <w:r w:rsidRPr="000E00C1">
        <w:rPr>
          <w:rFonts w:ascii="Arial" w:eastAsia="Times New Roman" w:hAnsi="Arial" w:cs="Arial"/>
          <w:snapToGrid w:val="0"/>
          <w:spacing w:val="-3"/>
          <w:lang w:eastAsia="fr-FR"/>
        </w:rPr>
        <w:t>:</w:t>
      </w:r>
    </w:p>
    <w:p w14:paraId="0ED486E9" w14:textId="77777777" w:rsidR="00765D4E" w:rsidRPr="000E00C1" w:rsidRDefault="00765D4E" w:rsidP="00765D4E">
      <w:pPr>
        <w:pStyle w:val="ListParagraph"/>
        <w:widowControl/>
        <w:numPr>
          <w:ilvl w:val="0"/>
          <w:numId w:val="33"/>
        </w:numPr>
        <w:spacing w:after="160" w:line="247" w:lineRule="auto"/>
        <w:jc w:val="both"/>
        <w:rPr>
          <w:rFonts w:ascii="Arial" w:hAnsi="Arial" w:cs="Arial"/>
          <w:spacing w:val="-3"/>
          <w:sz w:val="22"/>
          <w:szCs w:val="22"/>
        </w:rPr>
      </w:pPr>
      <w:r w:rsidRPr="000E00C1">
        <w:rPr>
          <w:rFonts w:ascii="Arial" w:hAnsi="Arial" w:cs="Arial"/>
          <w:spacing w:val="-3"/>
          <w:sz w:val="22"/>
          <w:szCs w:val="22"/>
        </w:rPr>
        <w:t>An ICB code</w:t>
      </w:r>
      <w:r w:rsidRPr="000E00C1">
        <w:rPr>
          <w:rStyle w:val="FootnoteReference"/>
          <w:rFonts w:ascii="Arial" w:hAnsi="Arial" w:cs="Arial"/>
          <w:spacing w:val="-3"/>
          <w:sz w:val="22"/>
          <w:szCs w:val="22"/>
        </w:rPr>
        <w:footnoteReference w:id="4"/>
      </w:r>
    </w:p>
    <w:p w14:paraId="0A4848FA" w14:textId="77777777" w:rsidR="00765D4E" w:rsidRPr="000E00C1" w:rsidRDefault="00765D4E" w:rsidP="00765D4E">
      <w:pPr>
        <w:pStyle w:val="ListParagraph"/>
        <w:widowControl/>
        <w:numPr>
          <w:ilvl w:val="0"/>
          <w:numId w:val="33"/>
        </w:numPr>
        <w:spacing w:after="160" w:line="247" w:lineRule="auto"/>
        <w:jc w:val="both"/>
        <w:rPr>
          <w:rFonts w:ascii="Arial" w:hAnsi="Arial" w:cs="Arial"/>
          <w:spacing w:val="-3"/>
          <w:sz w:val="22"/>
          <w:szCs w:val="22"/>
        </w:rPr>
      </w:pPr>
      <w:r w:rsidRPr="000E00C1">
        <w:rPr>
          <w:rFonts w:ascii="Arial" w:hAnsi="Arial" w:cs="Arial"/>
          <w:spacing w:val="-3"/>
          <w:sz w:val="22"/>
          <w:szCs w:val="22"/>
        </w:rPr>
        <w:t>A GICS code</w:t>
      </w:r>
      <w:r w:rsidRPr="000E00C1">
        <w:rPr>
          <w:rStyle w:val="FootnoteReference"/>
          <w:rFonts w:ascii="Arial" w:hAnsi="Arial" w:cs="Arial"/>
          <w:spacing w:val="-3"/>
          <w:sz w:val="22"/>
          <w:szCs w:val="22"/>
        </w:rPr>
        <w:footnoteReference w:id="5"/>
      </w:r>
    </w:p>
    <w:p w14:paraId="122463DF"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If the exchange uses a proprietary sector classification, please include the corresponding sector code. Exchanges are invited to share the taxonomy they use (either ICB, GICS or proprietary) with the WFE.</w:t>
      </w:r>
    </w:p>
    <w:p w14:paraId="191810F5" w14:textId="77777777" w:rsidR="00765D4E" w:rsidRPr="000E00C1" w:rsidRDefault="00765D4E" w:rsidP="00765D4E">
      <w:pPr>
        <w:spacing w:line="247" w:lineRule="auto"/>
        <w:jc w:val="both"/>
        <w:rPr>
          <w:rFonts w:ascii="Arial" w:eastAsia="Times New Roman" w:hAnsi="Arial" w:cs="Arial"/>
          <w:snapToGrid w:val="0"/>
          <w:spacing w:val="-3"/>
          <w:lang w:eastAsia="fr-FR"/>
        </w:rPr>
      </w:pPr>
    </w:p>
    <w:p w14:paraId="4B4F45E8"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Market Capitalisation on 1st trading day</w:t>
      </w:r>
    </w:p>
    <w:p w14:paraId="3B39AEA2"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snapToGrid w:val="0"/>
          <w:spacing w:val="-3"/>
          <w:lang w:eastAsia="fr-FR"/>
        </w:rPr>
        <w:t xml:space="preserve">Market capitalisation is the total number of issued shares, including their several classes, multiplied by their respective first lit closing prices </w:t>
      </w:r>
      <w:r w:rsidRPr="000E00C1">
        <w:rPr>
          <w:rFonts w:ascii="Arial" w:eastAsia="Times New Roman" w:hAnsi="Arial" w:cs="Arial"/>
          <w:snapToGrid w:val="0"/>
          <w:spacing w:val="-3"/>
          <w:u w:val="single"/>
          <w:lang w:eastAsia="fr-FR"/>
        </w:rPr>
        <w:t>at the end of their first trading day</w:t>
      </w:r>
      <w:r w:rsidRPr="000E00C1">
        <w:rPr>
          <w:rFonts w:ascii="Arial" w:eastAsia="Times New Roman" w:hAnsi="Arial" w:cs="Arial"/>
          <w:snapToGrid w:val="0"/>
          <w:spacing w:val="-3"/>
          <w:lang w:eastAsia="fr-FR"/>
        </w:rPr>
        <w:t xml:space="preserve"> </w:t>
      </w:r>
    </w:p>
    <w:p w14:paraId="2EED5AD0"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Capital raised through IPO (Newly issued shares)</w:t>
      </w:r>
    </w:p>
    <w:p w14:paraId="62C1AEDC" w14:textId="671564D0"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The value of money raised by the company through its </w:t>
      </w:r>
      <w:r w:rsidRPr="000E00C1">
        <w:rPr>
          <w:rFonts w:ascii="Arial" w:eastAsia="Times New Roman" w:hAnsi="Arial" w:cs="Arial"/>
          <w:snapToGrid w:val="0"/>
          <w:spacing w:val="-3"/>
          <w:lang w:eastAsia="fr-FR"/>
        </w:rPr>
        <w:fldChar w:fldCharType="begin"/>
      </w:r>
      <w:r w:rsidRPr="000E00C1">
        <w:rPr>
          <w:rFonts w:ascii="Arial" w:eastAsia="Times New Roman" w:hAnsi="Arial" w:cs="Arial"/>
          <w:snapToGrid w:val="0"/>
          <w:spacing w:val="-3"/>
          <w:lang w:eastAsia="fr-FR"/>
        </w:rPr>
        <w:instrText xml:space="preserve"> REF _Ref7786901 \h  \* MERGEFORMAT </w:instrText>
      </w:r>
      <w:r w:rsidRPr="000E00C1">
        <w:rPr>
          <w:rFonts w:ascii="Arial" w:eastAsia="Times New Roman" w:hAnsi="Arial" w:cs="Arial"/>
          <w:snapToGrid w:val="0"/>
          <w:spacing w:val="-3"/>
          <w:lang w:eastAsia="fr-FR"/>
        </w:rPr>
      </w:r>
      <w:r w:rsidRPr="000E00C1">
        <w:rPr>
          <w:rFonts w:ascii="Arial" w:eastAsia="Times New Roman" w:hAnsi="Arial" w:cs="Arial"/>
          <w:snapToGrid w:val="0"/>
          <w:spacing w:val="-3"/>
          <w:lang w:eastAsia="fr-FR"/>
        </w:rPr>
        <w:fldChar w:fldCharType="separate"/>
      </w:r>
      <w:r w:rsidR="0094528E">
        <w:rPr>
          <w:rFonts w:ascii="Arial" w:eastAsia="Times New Roman" w:hAnsi="Arial" w:cs="Arial"/>
          <w:b/>
          <w:bCs/>
          <w:snapToGrid w:val="0"/>
          <w:spacing w:val="-3"/>
          <w:lang w:val="en-US" w:eastAsia="fr-FR"/>
        </w:rPr>
        <w:t>Error! Reference source not found.</w:t>
      </w:r>
      <w:r w:rsidRPr="000E00C1">
        <w:rPr>
          <w:rFonts w:ascii="Arial" w:eastAsia="Times New Roman" w:hAnsi="Arial" w:cs="Arial"/>
          <w:snapToGrid w:val="0"/>
          <w:spacing w:val="-3"/>
          <w:lang w:eastAsia="fr-FR"/>
        </w:rPr>
        <w:fldChar w:fldCharType="end"/>
      </w:r>
      <w:r w:rsidRPr="000E00C1">
        <w:rPr>
          <w:rFonts w:ascii="Arial" w:eastAsia="Times New Roman" w:hAnsi="Arial" w:cs="Arial"/>
          <w:snapToGrid w:val="0"/>
          <w:spacing w:val="-3"/>
          <w:lang w:eastAsia="fr-FR"/>
        </w:rPr>
        <w:t xml:space="preserve">. The shares offered for sale must be newly issued shares. The figure is calculated by multiplying the number of shares that were placed by the offer price. This figure includes the exercise of </w:t>
      </w:r>
      <w:proofErr w:type="spellStart"/>
      <w:r w:rsidRPr="000E00C1">
        <w:rPr>
          <w:rFonts w:ascii="Arial" w:eastAsia="Times New Roman" w:hAnsi="Arial" w:cs="Arial"/>
          <w:snapToGrid w:val="0"/>
          <w:spacing w:val="-3"/>
          <w:lang w:eastAsia="fr-FR"/>
        </w:rPr>
        <w:t>greenshoe</w:t>
      </w:r>
      <w:proofErr w:type="spellEnd"/>
      <w:r w:rsidRPr="000E00C1">
        <w:rPr>
          <w:rFonts w:ascii="Arial" w:eastAsia="Times New Roman" w:hAnsi="Arial" w:cs="Arial"/>
          <w:snapToGrid w:val="0"/>
          <w:spacing w:val="-3"/>
          <w:lang w:eastAsia="fr-FR"/>
        </w:rPr>
        <w:t xml:space="preserve"> options.</w:t>
      </w:r>
    </w:p>
    <w:p w14:paraId="3B5E0AD5"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Capital raised through IPO (Already issued shares)</w:t>
      </w:r>
    </w:p>
    <w:p w14:paraId="21D27036"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The shares offered for sale must be already issued shares. The figure is calculated by multiplying the number of shares that were placed by the offer price.</w:t>
      </w:r>
    </w:p>
    <w:p w14:paraId="21279180"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Capital raised through IPO (Total)</w:t>
      </w:r>
    </w:p>
    <w:p w14:paraId="060592BA"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The sum of Capital raised through IPO (Newly issued shares) and investment flows from existing shareholders to the public (Already issued shares).</w:t>
      </w:r>
    </w:p>
    <w:p w14:paraId="4B7CD99B" w14:textId="77777777" w:rsidR="006C2B51" w:rsidRPr="00BD1ECB" w:rsidRDefault="006C2B51" w:rsidP="00E91CD3">
      <w:pPr>
        <w:spacing w:after="0" w:line="240" w:lineRule="auto"/>
        <w:rPr>
          <w:rFonts w:ascii="Arial" w:eastAsia="Times New Roman" w:hAnsi="Arial" w:cs="Arial"/>
          <w:snapToGrid w:val="0"/>
          <w:sz w:val="20"/>
          <w:szCs w:val="20"/>
          <w:lang w:eastAsia="fr-FR"/>
        </w:rPr>
      </w:pPr>
    </w:p>
    <w:p w14:paraId="5DC1F08F" w14:textId="77777777" w:rsidR="00E91CD3" w:rsidRDefault="00E91CD3">
      <w:r>
        <w:lastRenderedPageBreak/>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990C5B" w14:paraId="380A0F0A" w14:textId="77777777" w:rsidTr="0001525E">
        <w:tc>
          <w:tcPr>
            <w:tcW w:w="9016" w:type="dxa"/>
          </w:tcPr>
          <w:p w14:paraId="5140A516" w14:textId="2ABADD20" w:rsidR="007E6B23" w:rsidRPr="00990C5B" w:rsidRDefault="00942330" w:rsidP="00990C5B">
            <w:pPr>
              <w:pStyle w:val="Heading3"/>
              <w:outlineLvl w:val="2"/>
              <w:rPr>
                <w:rFonts w:ascii="Arial" w:hAnsi="Arial" w:cs="Arial"/>
                <w:b/>
                <w:bCs/>
                <w:color w:val="auto"/>
                <w:sz w:val="28"/>
                <w:szCs w:val="28"/>
              </w:rPr>
            </w:pPr>
            <w:bookmarkStart w:id="11" w:name="_Ref14259479"/>
            <w:r w:rsidRPr="00990C5B">
              <w:rPr>
                <w:rFonts w:ascii="Arial" w:hAnsi="Arial" w:cs="Arial"/>
                <w:b/>
                <w:bCs/>
                <w:color w:val="auto"/>
                <w:sz w:val="28"/>
                <w:szCs w:val="28"/>
              </w:rPr>
              <w:lastRenderedPageBreak/>
              <w:t xml:space="preserve">Asset Class - </w:t>
            </w:r>
            <w:r w:rsidR="008B45F8" w:rsidRPr="00990C5B">
              <w:rPr>
                <w:rFonts w:ascii="Arial" w:hAnsi="Arial" w:cs="Arial"/>
                <w:b/>
                <w:bCs/>
                <w:color w:val="auto"/>
                <w:sz w:val="28"/>
                <w:szCs w:val="28"/>
              </w:rPr>
              <w:t>Derivatives</w:t>
            </w:r>
            <w:bookmarkEnd w:id="11"/>
          </w:p>
        </w:tc>
      </w:tr>
    </w:tbl>
    <w:p w14:paraId="10AA10D6" w14:textId="77777777" w:rsidR="006C2B51" w:rsidRPr="00BD1ECB" w:rsidRDefault="006C2B51" w:rsidP="00E91CD3">
      <w:pPr>
        <w:spacing w:after="0" w:line="240" w:lineRule="auto"/>
        <w:rPr>
          <w:rFonts w:ascii="Arial" w:eastAsia="Times New Roman" w:hAnsi="Arial" w:cs="Arial"/>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501F5C" w14:paraId="32C238F5" w14:textId="77777777" w:rsidTr="006C2B51">
        <w:tc>
          <w:tcPr>
            <w:tcW w:w="9016" w:type="dxa"/>
          </w:tcPr>
          <w:p w14:paraId="67549418" w14:textId="5CB4998B" w:rsidR="006C2B51" w:rsidRPr="00501F5C" w:rsidRDefault="006C2B51" w:rsidP="00990C5B">
            <w:pPr>
              <w:rPr>
                <w:rFonts w:ascii="Arial" w:hAnsi="Arial" w:cs="Arial"/>
                <w:b/>
                <w:bCs/>
                <w:i/>
                <w:iCs/>
              </w:rPr>
            </w:pPr>
            <w:r w:rsidRPr="00501F5C">
              <w:rPr>
                <w:rFonts w:ascii="Arial" w:hAnsi="Arial" w:cs="Arial"/>
                <w:b/>
                <w:bCs/>
                <w:i/>
                <w:iCs/>
              </w:rPr>
              <w:t>Product - Single Stock Options &amp; Futures</w:t>
            </w:r>
          </w:p>
        </w:tc>
      </w:tr>
      <w:tr w:rsidR="0030436D" w:rsidRPr="00501F5C" w14:paraId="220FBAAA" w14:textId="77777777" w:rsidTr="006C2B51">
        <w:tc>
          <w:tcPr>
            <w:tcW w:w="9016" w:type="dxa"/>
          </w:tcPr>
          <w:p w14:paraId="29439DF6" w14:textId="42F6AF2F" w:rsidR="006C2B51" w:rsidRPr="00501F5C" w:rsidRDefault="006C2B51" w:rsidP="00990C5B">
            <w:pPr>
              <w:rPr>
                <w:rFonts w:ascii="Arial" w:hAnsi="Arial" w:cs="Arial"/>
                <w:b/>
                <w:bCs/>
                <w:i/>
                <w:iCs/>
              </w:rPr>
            </w:pPr>
            <w:r w:rsidRPr="00501F5C">
              <w:rPr>
                <w:rFonts w:ascii="Arial" w:hAnsi="Arial" w:cs="Arial"/>
                <w:b/>
                <w:bCs/>
                <w:i/>
                <w:iCs/>
              </w:rPr>
              <w:t>Product - Stock Index Options &amp; Futures</w:t>
            </w:r>
          </w:p>
        </w:tc>
      </w:tr>
      <w:tr w:rsidR="0030436D" w:rsidRPr="00501F5C" w14:paraId="60FB1DCF" w14:textId="77777777" w:rsidTr="006C2B51">
        <w:tc>
          <w:tcPr>
            <w:tcW w:w="9016" w:type="dxa"/>
          </w:tcPr>
          <w:p w14:paraId="49A1D87D" w14:textId="0CAB76A5" w:rsidR="006C2B51" w:rsidRPr="00501F5C" w:rsidRDefault="006C2B51" w:rsidP="00990C5B">
            <w:pPr>
              <w:rPr>
                <w:rFonts w:ascii="Arial" w:hAnsi="Arial" w:cs="Arial"/>
                <w:b/>
                <w:bCs/>
                <w:i/>
                <w:iCs/>
              </w:rPr>
            </w:pPr>
            <w:r w:rsidRPr="00501F5C">
              <w:rPr>
                <w:rFonts w:ascii="Arial" w:hAnsi="Arial" w:cs="Arial"/>
                <w:b/>
                <w:bCs/>
                <w:i/>
                <w:iCs/>
              </w:rPr>
              <w:t>Product - ETF Options &amp; Futures</w:t>
            </w:r>
          </w:p>
        </w:tc>
      </w:tr>
      <w:tr w:rsidR="0030436D" w:rsidRPr="00501F5C" w14:paraId="08E73EDF" w14:textId="77777777" w:rsidTr="006C2B51">
        <w:tc>
          <w:tcPr>
            <w:tcW w:w="9016" w:type="dxa"/>
          </w:tcPr>
          <w:p w14:paraId="007A4CC0" w14:textId="28F33FE1" w:rsidR="006C2B51" w:rsidRPr="00501F5C" w:rsidRDefault="006C2B51" w:rsidP="00990C5B">
            <w:pPr>
              <w:rPr>
                <w:rFonts w:ascii="Arial" w:hAnsi="Arial" w:cs="Arial"/>
                <w:b/>
                <w:bCs/>
                <w:i/>
                <w:iCs/>
              </w:rPr>
            </w:pPr>
            <w:r w:rsidRPr="00501F5C">
              <w:rPr>
                <w:rFonts w:ascii="Arial" w:hAnsi="Arial" w:cs="Arial"/>
                <w:b/>
                <w:bCs/>
                <w:i/>
                <w:iCs/>
              </w:rPr>
              <w:t>Product - Interest Rate Options and Futures</w:t>
            </w:r>
          </w:p>
          <w:p w14:paraId="6EDF1AD8" w14:textId="080F111D" w:rsidR="006C2B51" w:rsidRPr="00F11F09" w:rsidRDefault="006C2B51" w:rsidP="00F11F09">
            <w:pPr>
              <w:pStyle w:val="ListParagraph"/>
              <w:numPr>
                <w:ilvl w:val="0"/>
                <w:numId w:val="20"/>
              </w:numPr>
              <w:rPr>
                <w:rFonts w:ascii="Arial" w:hAnsi="Arial" w:cs="Arial"/>
                <w:b/>
                <w:bCs/>
                <w:i/>
                <w:iCs/>
              </w:rPr>
            </w:pPr>
            <w:r w:rsidRPr="00F11F09">
              <w:rPr>
                <w:rFonts w:ascii="Arial" w:hAnsi="Arial" w:cs="Arial"/>
                <w:b/>
                <w:bCs/>
                <w:i/>
                <w:iCs/>
              </w:rPr>
              <w:t>Short Term Interest Rate Options and Futures</w:t>
            </w:r>
          </w:p>
          <w:p w14:paraId="5794F77C" w14:textId="1999767B" w:rsidR="006C2B51" w:rsidRPr="00F11F09" w:rsidRDefault="006C2B51" w:rsidP="00F11F09">
            <w:pPr>
              <w:pStyle w:val="ListParagraph"/>
              <w:numPr>
                <w:ilvl w:val="0"/>
                <w:numId w:val="20"/>
              </w:numPr>
              <w:rPr>
                <w:rFonts w:ascii="Arial" w:hAnsi="Arial" w:cs="Arial"/>
                <w:b/>
                <w:bCs/>
                <w:i/>
                <w:iCs/>
              </w:rPr>
            </w:pPr>
            <w:r w:rsidRPr="00F11F09">
              <w:rPr>
                <w:rFonts w:ascii="Arial" w:hAnsi="Arial" w:cs="Arial"/>
                <w:b/>
                <w:bCs/>
                <w:i/>
                <w:iCs/>
              </w:rPr>
              <w:t>Long Term Interest Rate Options and Futures</w:t>
            </w:r>
          </w:p>
        </w:tc>
      </w:tr>
      <w:tr w:rsidR="0030436D" w:rsidRPr="00501F5C" w14:paraId="3F3B93A5" w14:textId="77777777" w:rsidTr="006C2B51">
        <w:tc>
          <w:tcPr>
            <w:tcW w:w="9016" w:type="dxa"/>
          </w:tcPr>
          <w:p w14:paraId="2FA099DE" w14:textId="16E66D76" w:rsidR="006C2B51" w:rsidRPr="00501F5C" w:rsidRDefault="006C2B51" w:rsidP="00990C5B">
            <w:pPr>
              <w:rPr>
                <w:rFonts w:ascii="Arial" w:hAnsi="Arial" w:cs="Arial"/>
                <w:b/>
                <w:bCs/>
                <w:i/>
                <w:iCs/>
              </w:rPr>
            </w:pPr>
            <w:r w:rsidRPr="00501F5C">
              <w:rPr>
                <w:rFonts w:ascii="Arial" w:hAnsi="Arial" w:cs="Arial"/>
                <w:b/>
                <w:bCs/>
                <w:i/>
                <w:iCs/>
              </w:rPr>
              <w:t>Product - Currency Options and Futures</w:t>
            </w:r>
          </w:p>
        </w:tc>
      </w:tr>
      <w:tr w:rsidR="0030436D" w:rsidRPr="00501F5C" w14:paraId="1839195B" w14:textId="77777777" w:rsidTr="005871A4">
        <w:trPr>
          <w:trHeight w:val="1649"/>
        </w:trPr>
        <w:tc>
          <w:tcPr>
            <w:tcW w:w="9016" w:type="dxa"/>
          </w:tcPr>
          <w:p w14:paraId="52E8E359" w14:textId="710C3D07" w:rsidR="006D0DF9" w:rsidRPr="00501F5C" w:rsidRDefault="006C2B51" w:rsidP="00990C5B">
            <w:pPr>
              <w:rPr>
                <w:rFonts w:ascii="Arial" w:hAnsi="Arial" w:cs="Arial"/>
                <w:b/>
                <w:bCs/>
                <w:i/>
                <w:iCs/>
              </w:rPr>
            </w:pPr>
            <w:r w:rsidRPr="00501F5C">
              <w:rPr>
                <w:rFonts w:ascii="Arial" w:hAnsi="Arial" w:cs="Arial"/>
                <w:b/>
                <w:bCs/>
                <w:i/>
                <w:iCs/>
              </w:rPr>
              <w:t>Product - Commodity Options and Futures</w:t>
            </w:r>
          </w:p>
          <w:p w14:paraId="17BE51DB" w14:textId="5DA69BF6" w:rsidR="006C2B51" w:rsidRPr="00F11F09" w:rsidRDefault="006C2B51" w:rsidP="00F11F09">
            <w:pPr>
              <w:pStyle w:val="ListParagraph"/>
              <w:numPr>
                <w:ilvl w:val="0"/>
                <w:numId w:val="19"/>
              </w:numPr>
              <w:rPr>
                <w:rFonts w:ascii="Arial" w:hAnsi="Arial" w:cs="Arial"/>
                <w:b/>
                <w:bCs/>
                <w:i/>
                <w:iCs/>
              </w:rPr>
            </w:pPr>
            <w:r w:rsidRPr="00F11F09">
              <w:rPr>
                <w:rFonts w:ascii="Arial" w:hAnsi="Arial" w:cs="Arial"/>
                <w:b/>
                <w:bCs/>
                <w:i/>
                <w:iCs/>
              </w:rPr>
              <w:t>P</w:t>
            </w:r>
            <w:r w:rsidR="006D0DF9" w:rsidRPr="00F11F09">
              <w:rPr>
                <w:rFonts w:ascii="Arial" w:hAnsi="Arial" w:cs="Arial"/>
                <w:b/>
                <w:bCs/>
                <w:i/>
                <w:iCs/>
              </w:rPr>
              <w:t>recious Metals Options and Futures</w:t>
            </w:r>
          </w:p>
          <w:p w14:paraId="7B56FE3F" w14:textId="1AFA7DCC"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Non</w:t>
            </w:r>
            <w:r w:rsidR="006C2B51" w:rsidRPr="00F11F09">
              <w:rPr>
                <w:rFonts w:ascii="Arial" w:hAnsi="Arial" w:cs="Arial"/>
                <w:b/>
                <w:bCs/>
                <w:i/>
                <w:iCs/>
              </w:rPr>
              <w:t>-</w:t>
            </w:r>
            <w:r w:rsidRPr="00F11F09">
              <w:rPr>
                <w:rFonts w:ascii="Arial" w:hAnsi="Arial" w:cs="Arial"/>
                <w:b/>
                <w:bCs/>
                <w:i/>
                <w:iCs/>
              </w:rPr>
              <w:t>Precious Metals Options and Futures</w:t>
            </w:r>
          </w:p>
          <w:p w14:paraId="53649FDC" w14:textId="4A24D317"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Energy</w:t>
            </w:r>
            <w:r w:rsidR="006C2B51" w:rsidRPr="00F11F09">
              <w:rPr>
                <w:rFonts w:ascii="Arial" w:hAnsi="Arial" w:cs="Arial"/>
                <w:b/>
                <w:bCs/>
                <w:i/>
                <w:iCs/>
              </w:rPr>
              <w:t xml:space="preserve"> </w:t>
            </w:r>
            <w:r w:rsidRPr="00F11F09">
              <w:rPr>
                <w:rFonts w:ascii="Arial" w:hAnsi="Arial" w:cs="Arial"/>
                <w:b/>
                <w:bCs/>
                <w:i/>
                <w:iCs/>
              </w:rPr>
              <w:t>Options and Futures</w:t>
            </w:r>
          </w:p>
          <w:p w14:paraId="5655A731" w14:textId="3297A56A"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Agriculture</w:t>
            </w:r>
            <w:r w:rsidR="006C2B51" w:rsidRPr="00F11F09">
              <w:rPr>
                <w:rFonts w:ascii="Arial" w:hAnsi="Arial" w:cs="Arial"/>
                <w:b/>
                <w:bCs/>
                <w:i/>
                <w:iCs/>
              </w:rPr>
              <w:t xml:space="preserve"> </w:t>
            </w:r>
            <w:r w:rsidRPr="00F11F09">
              <w:rPr>
                <w:rFonts w:ascii="Arial" w:hAnsi="Arial" w:cs="Arial"/>
                <w:b/>
                <w:bCs/>
                <w:i/>
                <w:iCs/>
              </w:rPr>
              <w:t>Options and Futures</w:t>
            </w:r>
          </w:p>
          <w:p w14:paraId="3F5E1ADB" w14:textId="1BFDC21B"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Index Commodity Derivatives</w:t>
            </w:r>
            <w:r w:rsidR="006C2B51" w:rsidRPr="00F11F09">
              <w:rPr>
                <w:rFonts w:ascii="Arial" w:hAnsi="Arial" w:cs="Arial"/>
                <w:b/>
                <w:bCs/>
                <w:i/>
                <w:iCs/>
              </w:rPr>
              <w:t xml:space="preserve"> </w:t>
            </w:r>
            <w:r w:rsidRPr="00F11F09">
              <w:rPr>
                <w:rFonts w:ascii="Arial" w:hAnsi="Arial" w:cs="Arial"/>
                <w:b/>
                <w:bCs/>
                <w:i/>
                <w:iCs/>
              </w:rPr>
              <w:t>Options and Futures</w:t>
            </w:r>
          </w:p>
        </w:tc>
      </w:tr>
    </w:tbl>
    <w:p w14:paraId="45809108" w14:textId="77777777" w:rsidR="006C2B51" w:rsidRDefault="006C2B51" w:rsidP="00E91CD3">
      <w:pPr>
        <w:spacing w:after="0" w:line="240" w:lineRule="auto"/>
        <w:rPr>
          <w:rFonts w:eastAsia="Times New Roman"/>
          <w:snapToGrid w:val="0"/>
          <w:lang w:eastAsia="fr-FR"/>
        </w:rPr>
      </w:pPr>
    </w:p>
    <w:p w14:paraId="6E5E9502" w14:textId="4D543709" w:rsidR="00B25624" w:rsidRDefault="008B45F8" w:rsidP="00E91CD3">
      <w:pPr>
        <w:spacing w:after="0" w:line="240" w:lineRule="auto"/>
        <w:rPr>
          <w:rFonts w:ascii="Arial" w:eastAsia="Times New Roman" w:hAnsi="Arial" w:cs="Arial"/>
          <w:snapToGrid w:val="0"/>
          <w:sz w:val="20"/>
          <w:szCs w:val="20"/>
          <w:lang w:eastAsia="fr-FR"/>
        </w:rPr>
      </w:pPr>
      <w:r w:rsidRPr="00C90ECF">
        <w:rPr>
          <w:rFonts w:ascii="Arial" w:eastAsia="Times New Roman" w:hAnsi="Arial" w:cs="Arial"/>
          <w:snapToGrid w:val="0"/>
          <w:sz w:val="20"/>
          <w:lang w:eastAsia="fr-FR"/>
        </w:rPr>
        <w:t>The WFE collects</w:t>
      </w:r>
      <w:r w:rsidR="008A6D18" w:rsidRPr="00C90ECF">
        <w:rPr>
          <w:rFonts w:ascii="Arial" w:eastAsia="Times New Roman" w:hAnsi="Arial" w:cs="Arial"/>
          <w:snapToGrid w:val="0"/>
          <w:sz w:val="20"/>
          <w:lang w:eastAsia="fr-FR"/>
        </w:rPr>
        <w:t xml:space="preserve"> </w:t>
      </w:r>
      <w:r w:rsidR="004D1CA4">
        <w:rPr>
          <w:rFonts w:ascii="Arial" w:eastAsia="Times New Roman" w:hAnsi="Arial" w:cs="Arial"/>
          <w:snapToGrid w:val="0"/>
          <w:sz w:val="20"/>
          <w:lang w:eastAsia="fr-FR"/>
        </w:rPr>
        <w:t xml:space="preserve">key volume and value-related market </w:t>
      </w:r>
      <w:r w:rsidR="008A6D18" w:rsidRPr="00C90ECF">
        <w:rPr>
          <w:rFonts w:ascii="Arial" w:eastAsia="Times New Roman" w:hAnsi="Arial" w:cs="Arial"/>
          <w:snapToGrid w:val="0"/>
          <w:sz w:val="20"/>
          <w:lang w:eastAsia="fr-FR"/>
        </w:rPr>
        <w:t xml:space="preserve">data </w:t>
      </w:r>
      <w:r w:rsidR="00C90ECF">
        <w:rPr>
          <w:rFonts w:ascii="Arial" w:eastAsia="Times New Roman" w:hAnsi="Arial" w:cs="Arial"/>
          <w:snapToGrid w:val="0"/>
          <w:sz w:val="20"/>
          <w:lang w:eastAsia="fr-FR"/>
        </w:rPr>
        <w:t>about</w:t>
      </w:r>
      <w:r w:rsidR="008A6D18" w:rsidRPr="00C90ECF">
        <w:rPr>
          <w:rFonts w:ascii="Arial" w:eastAsia="Times New Roman" w:hAnsi="Arial" w:cs="Arial"/>
          <w:snapToGrid w:val="0"/>
          <w:sz w:val="20"/>
          <w:lang w:eastAsia="fr-FR"/>
        </w:rPr>
        <w:t xml:space="preserve"> </w:t>
      </w:r>
      <w:r w:rsidR="004D1CA4">
        <w:rPr>
          <w:rFonts w:ascii="Arial" w:eastAsia="Times New Roman" w:hAnsi="Arial" w:cs="Arial"/>
          <w:snapToGrid w:val="0"/>
          <w:sz w:val="20"/>
          <w:lang w:eastAsia="fr-FR"/>
        </w:rPr>
        <w:t xml:space="preserve">the following </w:t>
      </w:r>
      <w:r w:rsidR="008A6D18" w:rsidRPr="00C90ECF">
        <w:rPr>
          <w:rFonts w:ascii="Arial" w:eastAsia="Times New Roman" w:hAnsi="Arial" w:cs="Arial"/>
          <w:snapToGrid w:val="0"/>
          <w:sz w:val="20"/>
          <w:lang w:eastAsia="fr-FR"/>
        </w:rPr>
        <w:t xml:space="preserve">derivatives products that </w:t>
      </w:r>
      <w:r w:rsidR="008A6D18" w:rsidRPr="00A55E94">
        <w:rPr>
          <w:rFonts w:ascii="Arial" w:eastAsia="Times New Roman" w:hAnsi="Arial" w:cs="Arial"/>
          <w:snapToGrid w:val="0"/>
          <w:sz w:val="20"/>
          <w:szCs w:val="20"/>
          <w:lang w:eastAsia="fr-FR"/>
        </w:rPr>
        <w:t>are traded on its members’ markets</w:t>
      </w:r>
      <w:r w:rsidR="006C2B51" w:rsidRPr="00A55E94">
        <w:rPr>
          <w:rFonts w:ascii="Arial" w:eastAsia="Times New Roman" w:hAnsi="Arial" w:cs="Arial"/>
          <w:snapToGrid w:val="0"/>
          <w:sz w:val="20"/>
          <w:szCs w:val="20"/>
          <w:lang w:eastAsia="fr-FR"/>
        </w:rPr>
        <w:t>:</w:t>
      </w:r>
      <w:r w:rsidR="0072602F" w:rsidRPr="00A55E94">
        <w:rPr>
          <w:rFonts w:ascii="Arial" w:eastAsia="Times New Roman" w:hAnsi="Arial" w:cs="Arial"/>
          <w:snapToGrid w:val="0"/>
          <w:sz w:val="20"/>
          <w:szCs w:val="20"/>
          <w:lang w:eastAsia="fr-FR"/>
        </w:rPr>
        <w:t xml:space="preserve"> </w:t>
      </w:r>
    </w:p>
    <w:p w14:paraId="32D038AD" w14:textId="77777777" w:rsidR="00E91CD3" w:rsidRDefault="00E91CD3" w:rsidP="00E91CD3">
      <w:pPr>
        <w:spacing w:after="0" w:line="240" w:lineRule="auto"/>
        <w:rPr>
          <w:rFonts w:ascii="Arial" w:eastAsia="Times New Roman" w:hAnsi="Arial" w:cs="Arial"/>
          <w:snapToGrid w:val="0"/>
          <w:sz w:val="20"/>
          <w:szCs w:val="20"/>
          <w:lang w:eastAsia="fr-FR"/>
        </w:rPr>
      </w:pPr>
    </w:p>
    <w:p w14:paraId="18B27D3F" w14:textId="464870C7"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_Ref13648470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options</w:t>
      </w:r>
      <w:r w:rsidRPr="00A55E94">
        <w:rPr>
          <w:rFonts w:ascii="Arial" w:eastAsiaTheme="minorHAnsi" w:hAnsi="Arial" w:cs="Arial"/>
          <w:snapToGrid/>
          <w:color w:val="002060"/>
          <w:sz w:val="20"/>
          <w:u w:val="single"/>
          <w:lang w:eastAsia="en-US"/>
        </w:rPr>
        <w:fldChar w:fldCharType="end"/>
      </w:r>
      <w:r w:rsidR="006C6B49" w:rsidRPr="00A55E94">
        <w:rPr>
          <w:rFonts w:ascii="Arial" w:hAnsi="Arial" w:cs="Arial"/>
          <w:sz w:val="20"/>
        </w:rPr>
        <w:t xml:space="preserve"> </w:t>
      </w:r>
      <w:r w:rsidR="00C90ECF" w:rsidRPr="00A55E94">
        <w:rPr>
          <w:rFonts w:ascii="Arial" w:hAnsi="Arial" w:cs="Arial"/>
          <w:sz w:val="20"/>
        </w:rPr>
        <w:t xml:space="preserve">and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_Ref11421085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futures</w:t>
      </w:r>
      <w:r w:rsidRPr="00A55E94">
        <w:rPr>
          <w:rFonts w:ascii="Arial" w:eastAsiaTheme="minorHAnsi" w:hAnsi="Arial" w:cs="Arial"/>
          <w:snapToGrid/>
          <w:color w:val="002060"/>
          <w:sz w:val="20"/>
          <w:u w:val="single"/>
          <w:lang w:eastAsia="en-US"/>
        </w:rPr>
        <w:fldChar w:fldCharType="end"/>
      </w:r>
    </w:p>
    <w:p w14:paraId="770ED5E0" w14:textId="701FA058"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_Ref11421131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index options</w:t>
      </w:r>
      <w:r w:rsidRPr="00A55E94">
        <w:rPr>
          <w:rFonts w:ascii="Arial" w:eastAsiaTheme="minorHAnsi" w:hAnsi="Arial" w:cs="Arial"/>
          <w:snapToGrid/>
          <w:color w:val="002060"/>
          <w:sz w:val="20"/>
          <w:u w:val="single"/>
          <w:lang w:eastAsia="en-US"/>
        </w:rPr>
        <w:fldChar w:fldCharType="end"/>
      </w:r>
      <w:r w:rsidR="00151FEA" w:rsidRPr="00A55E94">
        <w:rPr>
          <w:rFonts w:ascii="Arial" w:hAnsi="Arial" w:cs="Arial"/>
          <w:sz w:val="20"/>
        </w:rPr>
        <w:t xml:space="preserve"> </w:t>
      </w:r>
      <w:r w:rsidR="00FC5993">
        <w:rPr>
          <w:rFonts w:ascii="Arial" w:hAnsi="Arial" w:cs="Arial"/>
          <w:sz w:val="20"/>
        </w:rPr>
        <w:t>and</w:t>
      </w:r>
      <w:r w:rsidR="00811727">
        <w:rPr>
          <w:rFonts w:ascii="Arial" w:hAnsi="Arial" w:cs="Arial"/>
          <w:sz w:val="20"/>
        </w:rPr>
        <w:t xml:space="preserve">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_Ref11421139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index futures</w:t>
      </w:r>
      <w:r w:rsidRPr="00A55E94">
        <w:rPr>
          <w:rFonts w:ascii="Arial" w:eastAsiaTheme="minorHAnsi" w:hAnsi="Arial" w:cs="Arial"/>
          <w:snapToGrid/>
          <w:color w:val="002060"/>
          <w:sz w:val="20"/>
          <w:u w:val="single"/>
          <w:lang w:eastAsia="en-US"/>
        </w:rPr>
        <w:fldChar w:fldCharType="end"/>
      </w:r>
    </w:p>
    <w:p w14:paraId="43776EFE" w14:textId="54184C7E"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_Ref13648497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ETF options</w:t>
      </w:r>
      <w:r w:rsidRPr="00A55E94">
        <w:rPr>
          <w:rFonts w:ascii="Arial" w:eastAsiaTheme="minorHAnsi" w:hAnsi="Arial" w:cs="Arial"/>
          <w:snapToGrid/>
          <w:color w:val="002060"/>
          <w:sz w:val="20"/>
          <w:u w:val="single"/>
          <w:lang w:eastAsia="en-US"/>
        </w:rPr>
        <w:fldChar w:fldCharType="end"/>
      </w:r>
      <w:r w:rsidR="006C6B49" w:rsidRPr="00A55E94">
        <w:rPr>
          <w:rFonts w:ascii="Arial" w:hAnsi="Arial" w:cs="Arial"/>
          <w:sz w:val="20"/>
        </w:rPr>
        <w:t xml:space="preserve">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_Ref13648500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ETF futures</w:t>
      </w:r>
      <w:r w:rsidRPr="00A55E94">
        <w:rPr>
          <w:rFonts w:ascii="Arial" w:eastAsiaTheme="minorHAnsi" w:hAnsi="Arial" w:cs="Arial"/>
          <w:snapToGrid/>
          <w:color w:val="002060"/>
          <w:sz w:val="20"/>
          <w:u w:val="single"/>
          <w:lang w:eastAsia="en-US"/>
        </w:rPr>
        <w:fldChar w:fldCharType="end"/>
      </w:r>
    </w:p>
    <w:p w14:paraId="1BF0B83B" w14:textId="189DCE05" w:rsidR="00C90ECF" w:rsidRPr="00A55E94" w:rsidRDefault="00C90ECF" w:rsidP="00E91CD3">
      <w:pPr>
        <w:pStyle w:val="ListParagraph"/>
        <w:numPr>
          <w:ilvl w:val="0"/>
          <w:numId w:val="7"/>
        </w:numPr>
        <w:rPr>
          <w:rFonts w:ascii="Arial" w:hAnsi="Arial" w:cs="Arial"/>
          <w:sz w:val="20"/>
        </w:rPr>
      </w:pPr>
      <w:r w:rsidRPr="00A55E94">
        <w:rPr>
          <w:rFonts w:ascii="Arial" w:hAnsi="Arial" w:cs="Arial"/>
          <w:sz w:val="20"/>
        </w:rPr>
        <w:t>Interest Rate Options and Futures</w:t>
      </w:r>
      <w:r w:rsidR="00151FEA" w:rsidRPr="00A55E94">
        <w:rPr>
          <w:rFonts w:ascii="Arial" w:hAnsi="Arial" w:cs="Arial"/>
          <w:sz w:val="20"/>
        </w:rPr>
        <w:t xml:space="preserve">, </w:t>
      </w:r>
      <w:r w:rsidRPr="00A55E94">
        <w:rPr>
          <w:rFonts w:ascii="Arial" w:hAnsi="Arial" w:cs="Arial"/>
          <w:sz w:val="20"/>
        </w:rPr>
        <w:t xml:space="preserve">broken out into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_Ref13648513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Short term interest rate options</w:t>
      </w:r>
      <w:r w:rsidR="006C2B51" w:rsidRPr="00A55E94">
        <w:rPr>
          <w:rFonts w:ascii="Arial" w:eastAsiaTheme="minorHAnsi" w:hAnsi="Arial" w:cs="Arial"/>
          <w:snapToGrid/>
          <w:color w:val="002060"/>
          <w:sz w:val="20"/>
          <w:u w:val="single"/>
          <w:lang w:eastAsia="en-US"/>
        </w:rPr>
        <w:fldChar w:fldCharType="end"/>
      </w:r>
      <w:r w:rsidR="00151FEA" w:rsidRPr="00A55E94">
        <w:rPr>
          <w:rFonts w:ascii="Arial" w:eastAsiaTheme="minorHAnsi" w:hAnsi="Arial" w:cs="Arial"/>
          <w:snapToGrid/>
          <w:color w:val="002060"/>
          <w:sz w:val="20"/>
          <w:u w:val="single"/>
          <w:lang w:eastAsia="en-US"/>
        </w:rPr>
        <w:t>,</w:t>
      </w:r>
      <w:r w:rsidR="00DF1355" w:rsidRPr="00A55E94">
        <w:rPr>
          <w:rFonts w:ascii="Arial" w:eastAsiaTheme="minorHAnsi" w:hAnsi="Arial" w:cs="Arial"/>
          <w:snapToGrid/>
          <w:color w:val="002060"/>
          <w:sz w:val="20"/>
          <w:u w:val="single"/>
          <w:lang w:eastAsia="en-US"/>
        </w:rPr>
        <w:t xml:space="preserve">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_Ref13648520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Short term interest rate futures</w:t>
      </w:r>
      <w:r w:rsidR="006C2B51" w:rsidRPr="00A55E94">
        <w:rPr>
          <w:rFonts w:ascii="Arial" w:eastAsiaTheme="minorHAnsi" w:hAnsi="Arial" w:cs="Arial"/>
          <w:snapToGrid/>
          <w:color w:val="002060"/>
          <w:sz w:val="20"/>
          <w:u w:val="single"/>
          <w:lang w:eastAsia="en-US"/>
        </w:rPr>
        <w:fldChar w:fldCharType="end"/>
      </w:r>
      <w:r w:rsidR="006C2B51" w:rsidRPr="00A55E94">
        <w:rPr>
          <w:rFonts w:ascii="Arial" w:hAnsi="Arial" w:cs="Arial"/>
          <w:sz w:val="20"/>
        </w:rPr>
        <w:t xml:space="preserve">,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_Ref13648534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Long term interest rate options</w:t>
      </w:r>
      <w:r w:rsidR="006C2B51" w:rsidRPr="00A55E94">
        <w:rPr>
          <w:rFonts w:ascii="Arial" w:eastAsiaTheme="minorHAnsi" w:hAnsi="Arial" w:cs="Arial"/>
          <w:snapToGrid/>
          <w:color w:val="002060"/>
          <w:sz w:val="20"/>
          <w:u w:val="single"/>
          <w:lang w:eastAsia="en-US"/>
        </w:rPr>
        <w:fldChar w:fldCharType="end"/>
      </w:r>
      <w:r w:rsidR="00151FEA" w:rsidRPr="00A55E94">
        <w:rPr>
          <w:rFonts w:ascii="Arial" w:hAnsi="Arial" w:cs="Arial"/>
          <w:sz w:val="20"/>
        </w:rPr>
        <w:t xml:space="preserve"> </w:t>
      </w:r>
      <w:r w:rsidRPr="00A55E94">
        <w:rPr>
          <w:rFonts w:ascii="Arial" w:hAnsi="Arial" w:cs="Arial"/>
          <w:sz w:val="20"/>
        </w:rPr>
        <w:t xml:space="preserve">and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_Ref13648541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Long term interest rate futures</w:t>
      </w:r>
      <w:r w:rsidR="006C2B51" w:rsidRPr="00A55E94">
        <w:rPr>
          <w:rFonts w:ascii="Arial" w:eastAsiaTheme="minorHAnsi" w:hAnsi="Arial" w:cs="Arial"/>
          <w:snapToGrid/>
          <w:color w:val="002060"/>
          <w:sz w:val="20"/>
          <w:u w:val="single"/>
          <w:lang w:eastAsia="en-US"/>
        </w:rPr>
        <w:fldChar w:fldCharType="end"/>
      </w:r>
    </w:p>
    <w:p w14:paraId="7CD87DBB" w14:textId="2DCEEE44"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_Ref13648553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Currency options</w:t>
      </w:r>
      <w:r w:rsidRPr="00A55E94">
        <w:rPr>
          <w:rFonts w:ascii="Arial" w:eastAsiaTheme="minorHAnsi" w:hAnsi="Arial" w:cs="Arial"/>
          <w:snapToGrid/>
          <w:color w:val="002060"/>
          <w:sz w:val="20"/>
          <w:u w:val="single"/>
          <w:lang w:eastAsia="en-US"/>
        </w:rPr>
        <w:fldChar w:fldCharType="end"/>
      </w:r>
      <w:r w:rsidR="006C6B49" w:rsidRPr="00A55E94">
        <w:rPr>
          <w:rFonts w:ascii="Arial" w:hAnsi="Arial" w:cs="Arial"/>
          <w:sz w:val="20"/>
        </w:rPr>
        <w:t xml:space="preserve"> </w:t>
      </w:r>
      <w:r w:rsidR="00C90ECF" w:rsidRPr="00A55E94">
        <w:rPr>
          <w:rFonts w:ascii="Arial" w:hAnsi="Arial" w:cs="Arial"/>
          <w:sz w:val="20"/>
        </w:rPr>
        <w:t xml:space="preserve">and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_Ref13648556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Currency futures</w:t>
      </w:r>
      <w:r w:rsidRPr="00A55E94">
        <w:rPr>
          <w:rFonts w:ascii="Arial" w:eastAsiaTheme="minorHAnsi" w:hAnsi="Arial" w:cs="Arial"/>
          <w:snapToGrid/>
          <w:color w:val="002060"/>
          <w:sz w:val="20"/>
          <w:u w:val="single"/>
          <w:lang w:eastAsia="en-US"/>
        </w:rPr>
        <w:fldChar w:fldCharType="end"/>
      </w:r>
    </w:p>
    <w:p w14:paraId="3E3DB25D" w14:textId="435BD152" w:rsidR="006C0A52"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_Ref13648567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Commodity options</w:t>
      </w:r>
      <w:r w:rsidRPr="00A55E94">
        <w:rPr>
          <w:rFonts w:ascii="Arial" w:eastAsiaTheme="minorHAnsi" w:hAnsi="Arial" w:cs="Arial"/>
          <w:snapToGrid/>
          <w:color w:val="002060"/>
          <w:sz w:val="20"/>
          <w:u w:val="single"/>
          <w:lang w:eastAsia="en-US"/>
        </w:rPr>
        <w:fldChar w:fldCharType="end"/>
      </w:r>
      <w:r w:rsidR="00151FEA" w:rsidRPr="00A55E94">
        <w:rPr>
          <w:rFonts w:ascii="Arial" w:hAnsi="Arial" w:cs="Arial"/>
          <w:sz w:val="20"/>
        </w:rPr>
        <w:t xml:space="preserve"> </w:t>
      </w:r>
      <w:r w:rsidR="00C90ECF" w:rsidRPr="00A55E94">
        <w:rPr>
          <w:rFonts w:ascii="Arial" w:hAnsi="Arial" w:cs="Arial"/>
          <w:sz w:val="20"/>
        </w:rPr>
        <w:t xml:space="preserve">and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_Ref13648573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Commodity futures</w:t>
      </w:r>
      <w:r w:rsidRPr="00A55E94">
        <w:rPr>
          <w:rFonts w:ascii="Arial" w:eastAsiaTheme="minorHAnsi" w:hAnsi="Arial" w:cs="Arial"/>
          <w:snapToGrid/>
          <w:color w:val="002060"/>
          <w:sz w:val="20"/>
          <w:u w:val="single"/>
          <w:lang w:eastAsia="en-US"/>
        </w:rPr>
        <w:fldChar w:fldCharType="end"/>
      </w:r>
      <w:r w:rsidRPr="00A55E94">
        <w:rPr>
          <w:rFonts w:ascii="Arial" w:hAnsi="Arial" w:cs="Arial"/>
          <w:sz w:val="20"/>
        </w:rPr>
        <w:t xml:space="preserve"> </w:t>
      </w:r>
      <w:r w:rsidR="00C90ECF" w:rsidRPr="00A55E94">
        <w:rPr>
          <w:rFonts w:ascii="Arial" w:hAnsi="Arial" w:cs="Arial"/>
          <w:sz w:val="20"/>
        </w:rPr>
        <w:t>(broken out into Precious Metals Options and Futures, Non-precious Metals Options and Futures, Energy Options and Futures, Agriculture Options and Futures, Index Commodity Derivatives Options and Futures)</w:t>
      </w:r>
    </w:p>
    <w:p w14:paraId="16B93E57" w14:textId="77777777" w:rsidR="0084679A" w:rsidRPr="008B518C" w:rsidRDefault="0084679A" w:rsidP="00E91CD3">
      <w:pPr>
        <w:pStyle w:val="ListParagraph"/>
        <w:rPr>
          <w:rFonts w:ascii="Arial" w:hAnsi="Arial" w:cs="Arial"/>
          <w:sz w:val="20"/>
        </w:rPr>
      </w:pPr>
    </w:p>
    <w:p w14:paraId="572B19C7" w14:textId="7784A773" w:rsidR="00D15600" w:rsidRDefault="00D15600" w:rsidP="00E91CD3">
      <w:pPr>
        <w:spacing w:after="0" w:line="240" w:lineRule="auto"/>
        <w:ind w:left="360"/>
        <w:rPr>
          <w:rFonts w:ascii="Arial" w:hAnsi="Arial" w:cs="Arial"/>
          <w:sz w:val="20"/>
        </w:rPr>
      </w:pPr>
      <w:r>
        <w:rPr>
          <w:rFonts w:ascii="Arial" w:hAnsi="Arial" w:cs="Arial"/>
          <w:sz w:val="20"/>
        </w:rPr>
        <w:t>For each of the above products, we collect the following indicators:</w:t>
      </w:r>
    </w:p>
    <w:p w14:paraId="3718DEBD" w14:textId="77777777" w:rsidR="00E91CD3" w:rsidRPr="008B518C" w:rsidRDefault="00E91CD3" w:rsidP="00E91CD3">
      <w:pPr>
        <w:spacing w:after="0" w:line="240" w:lineRule="auto"/>
        <w:ind w:left="360"/>
        <w:rPr>
          <w:rFonts w:ascii="Arial" w:hAnsi="Arial" w:cs="Arial"/>
          <w:sz w:val="20"/>
        </w:rPr>
      </w:pPr>
    </w:p>
    <w:p w14:paraId="37BB447C" w14:textId="4A4FC559" w:rsidR="00D15600" w:rsidRDefault="0084679A" w:rsidP="00E91CD3">
      <w:pPr>
        <w:spacing w:after="0" w:line="240" w:lineRule="auto"/>
        <w:rPr>
          <w:rFonts w:ascii="Arial" w:eastAsia="Times New Roman" w:hAnsi="Arial" w:cs="Arial"/>
          <w:b/>
          <w:snapToGrid w:val="0"/>
          <w:spacing w:val="-3"/>
          <w:szCs w:val="20"/>
          <w:lang w:eastAsia="fr-FR"/>
        </w:rPr>
      </w:pPr>
      <w:r w:rsidRPr="008B518C">
        <w:rPr>
          <w:rFonts w:ascii="Arial" w:eastAsia="Times New Roman" w:hAnsi="Arial" w:cs="Arial"/>
          <w:b/>
          <w:snapToGrid w:val="0"/>
          <w:spacing w:val="-3"/>
          <w:szCs w:val="20"/>
          <w:lang w:eastAsia="fr-FR"/>
        </w:rPr>
        <w:t xml:space="preserve">Indicator: </w:t>
      </w:r>
      <w:r w:rsidR="00D15600" w:rsidRPr="008B518C">
        <w:rPr>
          <w:rFonts w:ascii="Arial" w:eastAsia="Times New Roman" w:hAnsi="Arial" w:cs="Arial"/>
          <w:b/>
          <w:snapToGrid w:val="0"/>
          <w:spacing w:val="-3"/>
          <w:szCs w:val="20"/>
          <w:lang w:eastAsia="fr-FR"/>
        </w:rPr>
        <w:t>Contracts traded</w:t>
      </w:r>
    </w:p>
    <w:p w14:paraId="7152D194" w14:textId="77777777" w:rsidR="00E91CD3" w:rsidRPr="008B518C" w:rsidRDefault="00E91CD3" w:rsidP="00E91CD3">
      <w:pPr>
        <w:spacing w:after="0" w:line="240" w:lineRule="auto"/>
        <w:rPr>
          <w:rFonts w:ascii="Arial" w:eastAsia="Times New Roman" w:hAnsi="Arial" w:cs="Arial"/>
          <w:b/>
          <w:snapToGrid w:val="0"/>
          <w:spacing w:val="-3"/>
          <w:szCs w:val="20"/>
          <w:lang w:eastAsia="fr-FR"/>
        </w:rPr>
      </w:pPr>
    </w:p>
    <w:p w14:paraId="24E787EA" w14:textId="263F27C2" w:rsidR="004B2A90" w:rsidRDefault="00D15600" w:rsidP="00E91CD3">
      <w:pPr>
        <w:spacing w:after="0" w:line="240" w:lineRule="auto"/>
        <w:jc w:val="both"/>
        <w:rPr>
          <w:rFonts w:eastAsia="Times New Roman"/>
          <w:snapToGrid w:val="0"/>
          <w:lang w:eastAsia="fr-FR"/>
        </w:rPr>
      </w:pPr>
      <w:r w:rsidRPr="00490F9F">
        <w:rPr>
          <w:rFonts w:ascii="Arial" w:hAnsi="Arial" w:cs="Arial"/>
          <w:spacing w:val="-3"/>
          <w:sz w:val="20"/>
        </w:rPr>
        <w:t>A contract is a standard unit of trading denoted by the number of shares or the amount of capital that may vary from class to class, or from product to product, as defined by an exchange. Figures are single-counted</w:t>
      </w:r>
      <w:r>
        <w:rPr>
          <w:rFonts w:ascii="Arial" w:hAnsi="Arial" w:cs="Arial"/>
          <w:spacing w:val="-3"/>
          <w:sz w:val="20"/>
        </w:rPr>
        <w:t>.</w:t>
      </w:r>
    </w:p>
    <w:p w14:paraId="3A7C4A8D" w14:textId="77777777" w:rsidR="00E91CD3" w:rsidRDefault="00E91CD3" w:rsidP="00E91CD3">
      <w:pPr>
        <w:spacing w:after="0" w:line="240" w:lineRule="auto"/>
        <w:rPr>
          <w:rFonts w:ascii="Arial" w:eastAsia="Times New Roman" w:hAnsi="Arial" w:cs="Arial"/>
          <w:b/>
          <w:snapToGrid w:val="0"/>
          <w:spacing w:val="-3"/>
          <w:szCs w:val="20"/>
          <w:lang w:eastAsia="fr-FR"/>
        </w:rPr>
      </w:pPr>
    </w:p>
    <w:p w14:paraId="37616646" w14:textId="113F0A56" w:rsidR="0084679A" w:rsidRPr="008B518C" w:rsidRDefault="0084679A"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B518C">
        <w:rPr>
          <w:rFonts w:ascii="Arial" w:eastAsia="Times New Roman" w:hAnsi="Arial" w:cs="Arial"/>
          <w:b/>
          <w:snapToGrid w:val="0"/>
          <w:spacing w:val="-3"/>
          <w:szCs w:val="20"/>
          <w:lang w:eastAsia="fr-FR"/>
        </w:rPr>
        <w:t>Notional value</w:t>
      </w:r>
    </w:p>
    <w:p w14:paraId="65FB5F52" w14:textId="77777777" w:rsidR="00E91CD3" w:rsidRDefault="00E91CD3"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Cs/>
          <w:sz w:val="20"/>
        </w:rPr>
      </w:pPr>
    </w:p>
    <w:p w14:paraId="2E9D6F29" w14:textId="4D44DDBC" w:rsidR="0084679A" w:rsidRDefault="0084679A"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Cs/>
          <w:sz w:val="20"/>
        </w:rPr>
      </w:pPr>
      <w:r w:rsidRPr="00C34BCE">
        <w:rPr>
          <w:rFonts w:ascii="Arial" w:hAnsi="Arial" w:cs="Arial"/>
          <w:iCs/>
          <w:sz w:val="20"/>
        </w:rPr>
        <w:t xml:space="preserve">The notional value of derivatives trading is the number of contracts traded multiplied by the contracts’ underlying value. The contracts’ underlying value is calculated by multiplying the market price of the underlying asset for each contract times the contract’s multiplier. It is an approximate measure of the underlying value of the number of contracts traded.  </w:t>
      </w:r>
    </w:p>
    <w:p w14:paraId="31594F9B"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68BE48AA" w14:textId="6FDDF6FE" w:rsidR="0084679A" w:rsidRPr="00E20FA8" w:rsidRDefault="0084679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Examples </w:t>
      </w:r>
    </w:p>
    <w:p w14:paraId="66F69A9D" w14:textId="77777777" w:rsidR="0084679A" w:rsidRPr="00490F9F" w:rsidRDefault="0084679A" w:rsidP="00E91CD3">
      <w:pPr>
        <w:suppressAutoHyphens/>
        <w:spacing w:after="0" w:line="240" w:lineRule="auto"/>
        <w:jc w:val="both"/>
        <w:rPr>
          <w:rFonts w:ascii="Arial" w:hAnsi="Arial" w:cs="Arial"/>
          <w:spacing w:val="-3"/>
          <w:sz w:val="20"/>
        </w:rPr>
      </w:pPr>
      <w:r w:rsidRPr="00490F9F">
        <w:rPr>
          <w:rFonts w:ascii="Arial" w:hAnsi="Arial" w:cs="Arial"/>
          <w:spacing w:val="-3"/>
          <w:sz w:val="20"/>
        </w:rPr>
        <w:t>The notional value of trading for stock options/futures on Company A and B are calculated by determining the unit of trading (contract size multiplied by stock closing price) and multiplying by the number of contracts traded.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490F9F" w14:paraId="2C5D2A22" w14:textId="77777777" w:rsidTr="00F505A1">
        <w:trPr>
          <w:cantSplit/>
        </w:trPr>
        <w:tc>
          <w:tcPr>
            <w:tcW w:w="2459" w:type="dxa"/>
            <w:vMerge w:val="restart"/>
            <w:shd w:val="clear" w:color="auto" w:fill="00709E"/>
            <w:vAlign w:val="center"/>
          </w:tcPr>
          <w:p w14:paraId="30A1CBBD"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Stock options/futures</w:t>
            </w:r>
          </w:p>
        </w:tc>
        <w:tc>
          <w:tcPr>
            <w:tcW w:w="3357" w:type="dxa"/>
            <w:gridSpan w:val="2"/>
            <w:shd w:val="clear" w:color="auto" w:fill="00709E"/>
            <w:vAlign w:val="center"/>
          </w:tcPr>
          <w:p w14:paraId="4A11E189"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Unit of trading</w:t>
            </w:r>
          </w:p>
        </w:tc>
        <w:tc>
          <w:tcPr>
            <w:tcW w:w="1414" w:type="dxa"/>
            <w:vMerge w:val="restart"/>
            <w:shd w:val="clear" w:color="auto" w:fill="00709E"/>
            <w:vAlign w:val="center"/>
          </w:tcPr>
          <w:p w14:paraId="2B061060"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contracts traded</w:t>
            </w:r>
          </w:p>
        </w:tc>
        <w:tc>
          <w:tcPr>
            <w:tcW w:w="1842" w:type="dxa"/>
            <w:vMerge w:val="restart"/>
            <w:shd w:val="clear" w:color="auto" w:fill="00709E"/>
            <w:vAlign w:val="center"/>
          </w:tcPr>
          <w:p w14:paraId="22AEF0EB"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 xml:space="preserve">Notional </w:t>
            </w:r>
            <w:r w:rsidRPr="00490F9F">
              <w:rPr>
                <w:rFonts w:ascii="Arial" w:hAnsi="Arial" w:cs="Arial"/>
                <w:b/>
                <w:bCs/>
                <w:color w:val="FFFFFF"/>
                <w:sz w:val="16"/>
                <w:szCs w:val="16"/>
              </w:rPr>
              <w:br/>
              <w:t>Value of Trading</w:t>
            </w:r>
          </w:p>
        </w:tc>
      </w:tr>
      <w:tr w:rsidR="0084679A" w:rsidRPr="00490F9F" w14:paraId="1A0116F3" w14:textId="77777777" w:rsidTr="00F505A1">
        <w:trPr>
          <w:cantSplit/>
        </w:trPr>
        <w:tc>
          <w:tcPr>
            <w:tcW w:w="2459" w:type="dxa"/>
            <w:vMerge/>
            <w:shd w:val="clear" w:color="auto" w:fill="00709E"/>
          </w:tcPr>
          <w:p w14:paraId="0D262E20" w14:textId="77777777" w:rsidR="0084679A" w:rsidRPr="00490F9F" w:rsidRDefault="0084679A" w:rsidP="00E91CD3">
            <w:pPr>
              <w:spacing w:after="0" w:line="240" w:lineRule="auto"/>
              <w:jc w:val="both"/>
              <w:rPr>
                <w:rFonts w:ascii="Arial" w:hAnsi="Arial" w:cs="Arial"/>
                <w:b/>
                <w:bCs/>
                <w:color w:val="FFFFFF"/>
                <w:sz w:val="16"/>
                <w:szCs w:val="16"/>
              </w:rPr>
            </w:pPr>
          </w:p>
        </w:tc>
        <w:tc>
          <w:tcPr>
            <w:tcW w:w="1678" w:type="dxa"/>
            <w:shd w:val="clear" w:color="auto" w:fill="00709E"/>
            <w:vAlign w:val="center"/>
          </w:tcPr>
          <w:p w14:paraId="0CC437F4"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Contract size</w:t>
            </w:r>
          </w:p>
        </w:tc>
        <w:tc>
          <w:tcPr>
            <w:tcW w:w="1679" w:type="dxa"/>
            <w:shd w:val="clear" w:color="auto" w:fill="00709E"/>
            <w:vAlign w:val="center"/>
          </w:tcPr>
          <w:p w14:paraId="5EA33334"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Stock closing price</w:t>
            </w:r>
          </w:p>
        </w:tc>
        <w:tc>
          <w:tcPr>
            <w:tcW w:w="1414" w:type="dxa"/>
            <w:vMerge/>
            <w:shd w:val="clear" w:color="auto" w:fill="00709E"/>
          </w:tcPr>
          <w:p w14:paraId="35F02822" w14:textId="77777777" w:rsidR="0084679A" w:rsidRPr="00490F9F" w:rsidRDefault="0084679A" w:rsidP="00E91CD3">
            <w:pPr>
              <w:spacing w:after="0" w:line="240" w:lineRule="auto"/>
              <w:jc w:val="both"/>
              <w:rPr>
                <w:rFonts w:ascii="Arial" w:hAnsi="Arial" w:cs="Arial"/>
                <w:b/>
                <w:bCs/>
                <w:color w:val="FFFFFF"/>
                <w:sz w:val="16"/>
                <w:szCs w:val="16"/>
              </w:rPr>
            </w:pPr>
          </w:p>
        </w:tc>
        <w:tc>
          <w:tcPr>
            <w:tcW w:w="1842" w:type="dxa"/>
            <w:vMerge/>
            <w:shd w:val="clear" w:color="auto" w:fill="00709E"/>
          </w:tcPr>
          <w:p w14:paraId="59407CD0" w14:textId="77777777" w:rsidR="0084679A" w:rsidRPr="00490F9F" w:rsidRDefault="0084679A" w:rsidP="00E91CD3">
            <w:pPr>
              <w:spacing w:after="0" w:line="240" w:lineRule="auto"/>
              <w:jc w:val="center"/>
              <w:rPr>
                <w:rFonts w:ascii="Arial" w:hAnsi="Arial" w:cs="Arial"/>
                <w:b/>
                <w:bCs/>
                <w:color w:val="FFFFFF"/>
                <w:sz w:val="16"/>
                <w:szCs w:val="16"/>
              </w:rPr>
            </w:pPr>
          </w:p>
        </w:tc>
      </w:tr>
      <w:tr w:rsidR="0084679A" w:rsidRPr="00490F9F" w14:paraId="4693F6BC" w14:textId="77777777" w:rsidTr="00F505A1">
        <w:tc>
          <w:tcPr>
            <w:tcW w:w="2459" w:type="dxa"/>
            <w:shd w:val="clear" w:color="auto" w:fill="00709E"/>
          </w:tcPr>
          <w:p w14:paraId="36DA2485"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Company A</w:t>
            </w:r>
          </w:p>
        </w:tc>
        <w:tc>
          <w:tcPr>
            <w:tcW w:w="1678" w:type="dxa"/>
          </w:tcPr>
          <w:p w14:paraId="69B7DDA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100</w:t>
            </w:r>
          </w:p>
        </w:tc>
        <w:tc>
          <w:tcPr>
            <w:tcW w:w="1679" w:type="dxa"/>
          </w:tcPr>
          <w:p w14:paraId="4DBF399E"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28,33</w:t>
            </w:r>
          </w:p>
        </w:tc>
        <w:tc>
          <w:tcPr>
            <w:tcW w:w="1414" w:type="dxa"/>
          </w:tcPr>
          <w:p w14:paraId="3C123618"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842" w:type="dxa"/>
          </w:tcPr>
          <w:p w14:paraId="21B20C70"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2,833</w:t>
            </w:r>
          </w:p>
        </w:tc>
      </w:tr>
      <w:tr w:rsidR="0084679A" w:rsidRPr="00490F9F" w14:paraId="1EC9835E" w14:textId="77777777" w:rsidTr="00F505A1">
        <w:tc>
          <w:tcPr>
            <w:tcW w:w="2459" w:type="dxa"/>
            <w:shd w:val="clear" w:color="auto" w:fill="00709E"/>
          </w:tcPr>
          <w:p w14:paraId="356D602A"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Company B</w:t>
            </w:r>
          </w:p>
        </w:tc>
        <w:tc>
          <w:tcPr>
            <w:tcW w:w="1678" w:type="dxa"/>
          </w:tcPr>
          <w:p w14:paraId="400F0B3E"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100</w:t>
            </w:r>
          </w:p>
        </w:tc>
        <w:tc>
          <w:tcPr>
            <w:tcW w:w="1679" w:type="dxa"/>
          </w:tcPr>
          <w:p w14:paraId="1C2F172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17,02</w:t>
            </w:r>
          </w:p>
        </w:tc>
        <w:tc>
          <w:tcPr>
            <w:tcW w:w="1414" w:type="dxa"/>
          </w:tcPr>
          <w:p w14:paraId="5597ED89"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117</w:t>
            </w:r>
          </w:p>
        </w:tc>
        <w:tc>
          <w:tcPr>
            <w:tcW w:w="1842" w:type="dxa"/>
          </w:tcPr>
          <w:p w14:paraId="40808DB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199,134</w:t>
            </w:r>
          </w:p>
        </w:tc>
      </w:tr>
      <w:tr w:rsidR="0084679A" w:rsidRPr="00490F9F" w14:paraId="7E3CAC91" w14:textId="77777777" w:rsidTr="00F505A1">
        <w:trPr>
          <w:cantSplit/>
        </w:trPr>
        <w:tc>
          <w:tcPr>
            <w:tcW w:w="5816" w:type="dxa"/>
            <w:gridSpan w:val="3"/>
          </w:tcPr>
          <w:p w14:paraId="33C1777A" w14:textId="77777777" w:rsidR="0084679A" w:rsidRPr="00490F9F" w:rsidRDefault="0084679A" w:rsidP="00E91CD3">
            <w:pPr>
              <w:spacing w:after="0" w:line="240" w:lineRule="auto"/>
              <w:rPr>
                <w:rFonts w:ascii="Arial" w:hAnsi="Arial" w:cs="Arial"/>
                <w:b/>
                <w:sz w:val="16"/>
                <w:szCs w:val="16"/>
              </w:rPr>
            </w:pPr>
            <w:r w:rsidRPr="00490F9F">
              <w:rPr>
                <w:rFonts w:ascii="Arial" w:hAnsi="Arial" w:cs="Arial"/>
                <w:b/>
                <w:sz w:val="16"/>
                <w:szCs w:val="16"/>
              </w:rPr>
              <w:t xml:space="preserve">Total </w:t>
            </w:r>
          </w:p>
        </w:tc>
        <w:tc>
          <w:tcPr>
            <w:tcW w:w="1414" w:type="dxa"/>
          </w:tcPr>
          <w:p w14:paraId="2011645B"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118</w:t>
            </w:r>
          </w:p>
        </w:tc>
        <w:tc>
          <w:tcPr>
            <w:tcW w:w="1842" w:type="dxa"/>
          </w:tcPr>
          <w:p w14:paraId="5643B326"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201,967</w:t>
            </w:r>
          </w:p>
        </w:tc>
      </w:tr>
    </w:tbl>
    <w:p w14:paraId="78B528DD" w14:textId="77777777" w:rsidR="0084679A" w:rsidRPr="00490F9F" w:rsidRDefault="0084679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8ED9F98" w14:textId="607CB8F4" w:rsidR="0084679A" w:rsidRDefault="0084679A" w:rsidP="00E91CD3">
      <w:pPr>
        <w:autoSpaceDE w:val="0"/>
        <w:autoSpaceDN w:val="0"/>
        <w:adjustRightInd w:val="0"/>
        <w:spacing w:after="0" w:line="240" w:lineRule="auto"/>
        <w:rPr>
          <w:rFonts w:ascii="Arial" w:hAnsi="Arial" w:cs="Arial"/>
          <w:color w:val="000000"/>
          <w:sz w:val="20"/>
          <w:lang w:eastAsia="en-GB"/>
        </w:rPr>
      </w:pPr>
      <w:r w:rsidRPr="00490F9F">
        <w:rPr>
          <w:rFonts w:ascii="Arial" w:hAnsi="Arial" w:cs="Arial"/>
          <w:color w:val="000000"/>
          <w:sz w:val="20"/>
          <w:lang w:eastAsia="en-GB"/>
        </w:rPr>
        <w:t>The notional value of trading in index options/futures on Index X and Y is determined by calculating the unit of trading (the index closing price multiplied by the multiplier for the relevant index) multiplied by the number of contracts traded.</w:t>
      </w:r>
    </w:p>
    <w:p w14:paraId="2BD0446E" w14:textId="77777777" w:rsidR="00E91CD3" w:rsidRPr="00490F9F" w:rsidRDefault="00E91CD3" w:rsidP="00E91CD3">
      <w:pPr>
        <w:autoSpaceDE w:val="0"/>
        <w:autoSpaceDN w:val="0"/>
        <w:adjustRightInd w:val="0"/>
        <w:spacing w:after="0" w:line="240" w:lineRule="auto"/>
        <w:rPr>
          <w:rFonts w:ascii="Arial" w:hAnsi="Arial" w:cs="Arial"/>
          <w:sz w:val="20"/>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490F9F" w14:paraId="1F79AEB5" w14:textId="77777777" w:rsidTr="00F505A1">
        <w:trPr>
          <w:cantSplit/>
        </w:trPr>
        <w:tc>
          <w:tcPr>
            <w:tcW w:w="2459" w:type="dxa"/>
            <w:vMerge w:val="restart"/>
            <w:shd w:val="clear" w:color="auto" w:fill="00709E"/>
            <w:vAlign w:val="center"/>
          </w:tcPr>
          <w:p w14:paraId="2F10670E" w14:textId="77777777" w:rsidR="0084679A" w:rsidRPr="00490F9F" w:rsidRDefault="0084679A"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Index options/futures</w:t>
            </w:r>
          </w:p>
        </w:tc>
        <w:tc>
          <w:tcPr>
            <w:tcW w:w="3357" w:type="dxa"/>
            <w:gridSpan w:val="2"/>
            <w:shd w:val="clear" w:color="auto" w:fill="00709E"/>
            <w:vAlign w:val="center"/>
          </w:tcPr>
          <w:p w14:paraId="234E5FF3"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Unit of trading</w:t>
            </w:r>
          </w:p>
        </w:tc>
        <w:tc>
          <w:tcPr>
            <w:tcW w:w="1414" w:type="dxa"/>
            <w:vMerge w:val="restart"/>
            <w:shd w:val="clear" w:color="auto" w:fill="00709E"/>
            <w:vAlign w:val="center"/>
          </w:tcPr>
          <w:p w14:paraId="10C3BB48"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contracts traded</w:t>
            </w:r>
          </w:p>
        </w:tc>
        <w:tc>
          <w:tcPr>
            <w:tcW w:w="1842" w:type="dxa"/>
            <w:vMerge w:val="restart"/>
            <w:shd w:val="clear" w:color="auto" w:fill="00709E"/>
            <w:vAlign w:val="center"/>
          </w:tcPr>
          <w:p w14:paraId="3FF47001"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 xml:space="preserve">Notional </w:t>
            </w:r>
            <w:r w:rsidRPr="00490F9F">
              <w:rPr>
                <w:rFonts w:ascii="Arial" w:hAnsi="Arial" w:cs="Arial"/>
                <w:b/>
                <w:bCs/>
                <w:color w:val="FFFFFF"/>
                <w:sz w:val="16"/>
                <w:szCs w:val="16"/>
              </w:rPr>
              <w:br/>
              <w:t>Value of Trading</w:t>
            </w:r>
          </w:p>
        </w:tc>
      </w:tr>
      <w:tr w:rsidR="0084679A" w:rsidRPr="00490F9F" w14:paraId="7B475A1A" w14:textId="77777777" w:rsidTr="00F505A1">
        <w:trPr>
          <w:cantSplit/>
        </w:trPr>
        <w:tc>
          <w:tcPr>
            <w:tcW w:w="2459" w:type="dxa"/>
            <w:vMerge/>
            <w:shd w:val="clear" w:color="auto" w:fill="00709E"/>
          </w:tcPr>
          <w:p w14:paraId="1A300F27" w14:textId="77777777" w:rsidR="0084679A" w:rsidRPr="00490F9F" w:rsidRDefault="0084679A" w:rsidP="00E91CD3">
            <w:pPr>
              <w:spacing w:after="0" w:line="240" w:lineRule="auto"/>
              <w:jc w:val="both"/>
              <w:rPr>
                <w:rFonts w:ascii="Arial" w:hAnsi="Arial" w:cs="Arial"/>
                <w:b/>
                <w:bCs/>
                <w:color w:val="FFFFFF"/>
                <w:sz w:val="16"/>
                <w:szCs w:val="16"/>
              </w:rPr>
            </w:pPr>
          </w:p>
        </w:tc>
        <w:tc>
          <w:tcPr>
            <w:tcW w:w="1678" w:type="dxa"/>
            <w:shd w:val="clear" w:color="auto" w:fill="00709E"/>
            <w:vAlign w:val="center"/>
          </w:tcPr>
          <w:p w14:paraId="40C203E4"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Multiplier</w:t>
            </w:r>
          </w:p>
        </w:tc>
        <w:tc>
          <w:tcPr>
            <w:tcW w:w="1679" w:type="dxa"/>
            <w:shd w:val="clear" w:color="auto" w:fill="00709E"/>
            <w:vAlign w:val="center"/>
          </w:tcPr>
          <w:p w14:paraId="6E1C088F"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Index closing price</w:t>
            </w:r>
          </w:p>
        </w:tc>
        <w:tc>
          <w:tcPr>
            <w:tcW w:w="1414" w:type="dxa"/>
            <w:vMerge/>
            <w:shd w:val="clear" w:color="auto" w:fill="00709E"/>
          </w:tcPr>
          <w:p w14:paraId="448141C5" w14:textId="77777777" w:rsidR="0084679A" w:rsidRPr="00490F9F" w:rsidRDefault="0084679A" w:rsidP="00E91CD3">
            <w:pPr>
              <w:spacing w:after="0" w:line="240" w:lineRule="auto"/>
              <w:jc w:val="both"/>
              <w:rPr>
                <w:rFonts w:ascii="Arial" w:hAnsi="Arial" w:cs="Arial"/>
                <w:b/>
                <w:bCs/>
                <w:color w:val="FFFFFF"/>
                <w:sz w:val="16"/>
                <w:szCs w:val="16"/>
              </w:rPr>
            </w:pPr>
          </w:p>
        </w:tc>
        <w:tc>
          <w:tcPr>
            <w:tcW w:w="1842" w:type="dxa"/>
            <w:vMerge/>
            <w:shd w:val="clear" w:color="auto" w:fill="00709E"/>
          </w:tcPr>
          <w:p w14:paraId="2DC50B18" w14:textId="77777777" w:rsidR="0084679A" w:rsidRPr="00490F9F" w:rsidRDefault="0084679A" w:rsidP="00E91CD3">
            <w:pPr>
              <w:spacing w:after="0" w:line="240" w:lineRule="auto"/>
              <w:jc w:val="center"/>
              <w:rPr>
                <w:rFonts w:ascii="Arial" w:hAnsi="Arial" w:cs="Arial"/>
                <w:b/>
                <w:bCs/>
                <w:color w:val="FFFFFF"/>
                <w:sz w:val="16"/>
                <w:szCs w:val="16"/>
              </w:rPr>
            </w:pPr>
          </w:p>
        </w:tc>
      </w:tr>
      <w:tr w:rsidR="0084679A" w:rsidRPr="00490F9F" w14:paraId="42EA8670" w14:textId="77777777" w:rsidTr="00F505A1">
        <w:tc>
          <w:tcPr>
            <w:tcW w:w="2459" w:type="dxa"/>
            <w:shd w:val="clear" w:color="auto" w:fill="00709E"/>
          </w:tcPr>
          <w:p w14:paraId="7B589519"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Index X</w:t>
            </w:r>
          </w:p>
        </w:tc>
        <w:tc>
          <w:tcPr>
            <w:tcW w:w="1678" w:type="dxa"/>
          </w:tcPr>
          <w:p w14:paraId="105CD174"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5</w:t>
            </w:r>
          </w:p>
        </w:tc>
        <w:tc>
          <w:tcPr>
            <w:tcW w:w="1679" w:type="dxa"/>
          </w:tcPr>
          <w:p w14:paraId="53DBFBDF"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1,600</w:t>
            </w:r>
          </w:p>
        </w:tc>
        <w:tc>
          <w:tcPr>
            <w:tcW w:w="1414" w:type="dxa"/>
          </w:tcPr>
          <w:p w14:paraId="395A84B6"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842" w:type="dxa"/>
          </w:tcPr>
          <w:p w14:paraId="60A206C4"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8,000</w:t>
            </w:r>
          </w:p>
        </w:tc>
      </w:tr>
      <w:tr w:rsidR="0084679A" w:rsidRPr="00490F9F" w14:paraId="681D8909" w14:textId="77777777" w:rsidTr="00F505A1">
        <w:tc>
          <w:tcPr>
            <w:tcW w:w="2459" w:type="dxa"/>
            <w:shd w:val="clear" w:color="auto" w:fill="00709E"/>
          </w:tcPr>
          <w:p w14:paraId="3A344C7B"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Index Y</w:t>
            </w:r>
          </w:p>
        </w:tc>
        <w:tc>
          <w:tcPr>
            <w:tcW w:w="1678" w:type="dxa"/>
          </w:tcPr>
          <w:p w14:paraId="0366E3B4"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679" w:type="dxa"/>
          </w:tcPr>
          <w:p w14:paraId="1D3A1BC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1,350</w:t>
            </w:r>
          </w:p>
        </w:tc>
        <w:tc>
          <w:tcPr>
            <w:tcW w:w="1414" w:type="dxa"/>
          </w:tcPr>
          <w:p w14:paraId="59485B49"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12</w:t>
            </w:r>
          </w:p>
        </w:tc>
        <w:tc>
          <w:tcPr>
            <w:tcW w:w="1842" w:type="dxa"/>
          </w:tcPr>
          <w:p w14:paraId="47E2EFFD"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32,400</w:t>
            </w:r>
          </w:p>
        </w:tc>
      </w:tr>
      <w:tr w:rsidR="0084679A" w:rsidRPr="00490F9F" w14:paraId="0329ACED" w14:textId="77777777" w:rsidTr="00F505A1">
        <w:trPr>
          <w:cantSplit/>
        </w:trPr>
        <w:tc>
          <w:tcPr>
            <w:tcW w:w="5816" w:type="dxa"/>
            <w:gridSpan w:val="3"/>
          </w:tcPr>
          <w:p w14:paraId="501F0D16" w14:textId="77777777" w:rsidR="0084679A" w:rsidRPr="00490F9F" w:rsidRDefault="0084679A" w:rsidP="00E91CD3">
            <w:pPr>
              <w:spacing w:after="0" w:line="240" w:lineRule="auto"/>
              <w:jc w:val="center"/>
              <w:rPr>
                <w:rFonts w:ascii="Arial" w:hAnsi="Arial" w:cs="Arial"/>
                <w:b/>
                <w:sz w:val="16"/>
                <w:szCs w:val="16"/>
              </w:rPr>
            </w:pPr>
            <w:r w:rsidRPr="00490F9F">
              <w:rPr>
                <w:rFonts w:ascii="Arial" w:hAnsi="Arial" w:cs="Arial"/>
                <w:b/>
                <w:sz w:val="16"/>
                <w:szCs w:val="16"/>
              </w:rPr>
              <w:t xml:space="preserve">Total </w:t>
            </w:r>
          </w:p>
        </w:tc>
        <w:tc>
          <w:tcPr>
            <w:tcW w:w="1414" w:type="dxa"/>
          </w:tcPr>
          <w:p w14:paraId="5245F7A2"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13</w:t>
            </w:r>
          </w:p>
        </w:tc>
        <w:tc>
          <w:tcPr>
            <w:tcW w:w="1842" w:type="dxa"/>
          </w:tcPr>
          <w:p w14:paraId="6139D83E"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40,400</w:t>
            </w:r>
          </w:p>
        </w:tc>
      </w:tr>
    </w:tbl>
    <w:p w14:paraId="70DBB0E0" w14:textId="77777777" w:rsidR="0084679A" w:rsidRDefault="0084679A"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Cs/>
          <w:sz w:val="20"/>
        </w:rPr>
      </w:pPr>
    </w:p>
    <w:p w14:paraId="371D64BC" w14:textId="6186DE50" w:rsidR="0084679A" w:rsidRPr="00C706A0" w:rsidRDefault="0084679A"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C706A0">
        <w:rPr>
          <w:rFonts w:ascii="Arial" w:eastAsia="Times New Roman" w:hAnsi="Arial" w:cs="Arial"/>
          <w:b/>
          <w:snapToGrid w:val="0"/>
          <w:spacing w:val="-3"/>
          <w:szCs w:val="20"/>
          <w:lang w:eastAsia="fr-FR"/>
        </w:rPr>
        <w:t>Open interest</w:t>
      </w:r>
    </w:p>
    <w:p w14:paraId="7DAE454D" w14:textId="3E26BC96" w:rsidR="0084679A" w:rsidRDefault="00156831" w:rsidP="00E91CD3">
      <w:pPr>
        <w:suppressAutoHyphens/>
        <w:spacing w:after="0" w:line="240" w:lineRule="auto"/>
        <w:jc w:val="both"/>
        <w:rPr>
          <w:rFonts w:ascii="Arial" w:hAnsi="Arial" w:cs="Arial"/>
          <w:spacing w:val="-3"/>
          <w:sz w:val="20"/>
        </w:rPr>
      </w:pPr>
      <w:r>
        <w:rPr>
          <w:rFonts w:ascii="Arial" w:hAnsi="Arial" w:cs="Arial"/>
          <w:spacing w:val="-3"/>
          <w:sz w:val="20"/>
        </w:rPr>
        <w:t>This</w:t>
      </w:r>
      <w:r w:rsidRPr="00490F9F">
        <w:rPr>
          <w:rFonts w:ascii="Arial" w:hAnsi="Arial" w:cs="Arial"/>
          <w:spacing w:val="-3"/>
          <w:sz w:val="20"/>
        </w:rPr>
        <w:t xml:space="preserve"> </w:t>
      </w:r>
      <w:r w:rsidR="0084679A" w:rsidRPr="00490F9F">
        <w:rPr>
          <w:rFonts w:ascii="Arial" w:hAnsi="Arial" w:cs="Arial"/>
          <w:spacing w:val="-3"/>
          <w:sz w:val="20"/>
        </w:rPr>
        <w:t xml:space="preserve">is the number of derivatives contracts (futures and options) outstanding at close of trading </w:t>
      </w:r>
      <w:r>
        <w:rPr>
          <w:rFonts w:ascii="Arial" w:hAnsi="Arial" w:cs="Arial"/>
          <w:spacing w:val="-3"/>
          <w:sz w:val="20"/>
        </w:rPr>
        <w:t>on</w:t>
      </w:r>
      <w:r w:rsidR="0084679A" w:rsidRPr="00490F9F">
        <w:rPr>
          <w:rFonts w:ascii="Arial" w:hAnsi="Arial" w:cs="Arial"/>
          <w:spacing w:val="-3"/>
          <w:sz w:val="20"/>
        </w:rPr>
        <w:t xml:space="preserve"> the last trading day of the month</w:t>
      </w:r>
      <w:r w:rsidR="00055A04">
        <w:rPr>
          <w:rFonts w:ascii="Arial" w:hAnsi="Arial" w:cs="Arial"/>
          <w:spacing w:val="-3"/>
          <w:sz w:val="20"/>
        </w:rPr>
        <w:t xml:space="preserve"> or the year</w:t>
      </w:r>
      <w:r w:rsidR="0084679A" w:rsidRPr="00490F9F">
        <w:rPr>
          <w:rFonts w:ascii="Arial" w:hAnsi="Arial" w:cs="Arial"/>
          <w:spacing w:val="-3"/>
          <w:sz w:val="20"/>
        </w:rPr>
        <w:t xml:space="preserve">. </w:t>
      </w:r>
    </w:p>
    <w:p w14:paraId="6F1DACD7" w14:textId="77777777" w:rsidR="00E91CD3" w:rsidRPr="00E20FA8" w:rsidRDefault="00E91CD3" w:rsidP="00E91CD3">
      <w:pPr>
        <w:suppressAutoHyphens/>
        <w:spacing w:after="0" w:line="240" w:lineRule="auto"/>
        <w:jc w:val="both"/>
        <w:rPr>
          <w:rFonts w:ascii="Arial" w:hAnsi="Arial" w:cs="Arial"/>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774D00" w:rsidRPr="00E12C45" w14:paraId="27F8A8A2" w14:textId="77777777" w:rsidTr="0001525E">
        <w:tc>
          <w:tcPr>
            <w:tcW w:w="9016" w:type="dxa"/>
          </w:tcPr>
          <w:p w14:paraId="4423AEE0" w14:textId="1C3DD795" w:rsidR="00774D00" w:rsidRPr="00E20FA8" w:rsidRDefault="00774D00" w:rsidP="00E91CD3">
            <w:pPr>
              <w:rPr>
                <w:rFonts w:ascii="Arial" w:hAnsi="Arial" w:cs="Arial"/>
                <w:b/>
                <w:i/>
                <w:sz w:val="28"/>
                <w:szCs w:val="28"/>
              </w:rPr>
            </w:pPr>
            <w:r w:rsidRPr="00E20FA8">
              <w:rPr>
                <w:rFonts w:ascii="Arial" w:hAnsi="Arial" w:cs="Arial"/>
                <w:b/>
                <w:i/>
                <w:sz w:val="28"/>
                <w:szCs w:val="28"/>
              </w:rPr>
              <w:t xml:space="preserve">Asset Class </w:t>
            </w:r>
            <w:r>
              <w:rPr>
                <w:rFonts w:ascii="Arial" w:hAnsi="Arial" w:cs="Arial"/>
                <w:b/>
                <w:i/>
                <w:sz w:val="28"/>
                <w:szCs w:val="28"/>
              </w:rPr>
              <w:t>–</w:t>
            </w:r>
            <w:r w:rsidRPr="00E20FA8">
              <w:rPr>
                <w:rFonts w:ascii="Arial" w:hAnsi="Arial" w:cs="Arial"/>
                <w:b/>
                <w:i/>
                <w:sz w:val="28"/>
                <w:szCs w:val="28"/>
              </w:rPr>
              <w:t xml:space="preserve"> </w:t>
            </w:r>
            <w:r>
              <w:rPr>
                <w:rFonts w:ascii="Arial" w:hAnsi="Arial" w:cs="Arial"/>
                <w:b/>
                <w:i/>
                <w:sz w:val="28"/>
                <w:szCs w:val="28"/>
              </w:rPr>
              <w:t>Bonds</w:t>
            </w:r>
          </w:p>
        </w:tc>
      </w:tr>
    </w:tbl>
    <w:p w14:paraId="096A1FDA" w14:textId="14D5DBCB" w:rsidR="00774D00" w:rsidRDefault="00774D00" w:rsidP="00E91CD3">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54678" w:rsidRPr="00501F5C" w14:paraId="6D70E17F" w14:textId="77777777" w:rsidTr="0037183B">
        <w:tc>
          <w:tcPr>
            <w:tcW w:w="9016" w:type="dxa"/>
          </w:tcPr>
          <w:p w14:paraId="41BF92D6" w14:textId="77777777" w:rsidR="00954678" w:rsidRPr="00501F5C" w:rsidRDefault="00954678" w:rsidP="0030436D">
            <w:pPr>
              <w:pStyle w:val="Heading3"/>
              <w:outlineLvl w:val="2"/>
              <w:rPr>
                <w:rFonts w:ascii="Arial" w:hAnsi="Arial" w:cs="Arial"/>
                <w:b/>
                <w:bCs/>
                <w:i/>
                <w:iCs/>
                <w:color w:val="auto"/>
                <w:sz w:val="22"/>
                <w:szCs w:val="22"/>
              </w:rPr>
            </w:pPr>
            <w:bookmarkStart w:id="12" w:name="_Ref14259574"/>
            <w:r w:rsidRPr="00501F5C">
              <w:rPr>
                <w:rFonts w:ascii="Arial" w:hAnsi="Arial" w:cs="Arial"/>
                <w:b/>
                <w:bCs/>
                <w:i/>
                <w:iCs/>
                <w:color w:val="auto"/>
                <w:sz w:val="22"/>
                <w:szCs w:val="22"/>
              </w:rPr>
              <w:t>Product - Bonds</w:t>
            </w:r>
            <w:bookmarkEnd w:id="12"/>
          </w:p>
        </w:tc>
      </w:tr>
    </w:tbl>
    <w:p w14:paraId="6B5DB184" w14:textId="77777777" w:rsidR="00954678" w:rsidRDefault="00954678" w:rsidP="00E91CD3">
      <w:pPr>
        <w:spacing w:after="0" w:line="240" w:lineRule="auto"/>
        <w:rPr>
          <w:rFonts w:eastAsia="Times New Roman"/>
          <w:snapToGrid w:val="0"/>
          <w:lang w:eastAsia="fr-FR"/>
        </w:rPr>
      </w:pPr>
    </w:p>
    <w:p w14:paraId="171746E0" w14:textId="6F5E52CE" w:rsidR="002661F2" w:rsidRDefault="002661F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Bonds are fixed-income financial instruments, issued by governments, local authorities and state-owned or private organizations. They may be listed or traded in one or several exchanges and ensure predetermined levels of returns in the form of interest rate. Interest rates may remain fixed throughout the bond’s life or vary according to the bond’s terms of listing.</w:t>
      </w:r>
    </w:p>
    <w:p w14:paraId="109BA572"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7205885" w14:textId="77777777" w:rsidR="00841E7E" w:rsidRPr="00841E7E" w:rsidRDefault="008D54AD"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41E7E" w:rsidRPr="00841E7E">
        <w:rPr>
          <w:rFonts w:ascii="Arial" w:eastAsia="Times New Roman" w:hAnsi="Arial" w:cs="Arial"/>
          <w:b/>
          <w:snapToGrid w:val="0"/>
          <w:spacing w:val="-3"/>
          <w:szCs w:val="20"/>
          <w:lang w:eastAsia="fr-FR"/>
        </w:rPr>
        <w:t>Number listed (Domestic private sector)</w:t>
      </w:r>
    </w:p>
    <w:p w14:paraId="2EF0E2C6" w14:textId="22C24409" w:rsidR="00841E7E" w:rsidRPr="00841E7E" w:rsidRDefault="00841E7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41E7E">
        <w:rPr>
          <w:rFonts w:ascii="Arial" w:eastAsia="Times New Roman" w:hAnsi="Arial" w:cs="Arial"/>
          <w:b/>
          <w:snapToGrid w:val="0"/>
          <w:spacing w:val="-3"/>
          <w:szCs w:val="20"/>
          <w:lang w:eastAsia="fr-FR"/>
        </w:rPr>
        <w:t>Number listed (Domestic public sector)</w:t>
      </w:r>
    </w:p>
    <w:p w14:paraId="6A389487" w14:textId="11B8D055" w:rsidR="00841E7E" w:rsidRPr="00841E7E" w:rsidRDefault="00841E7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41E7E">
        <w:rPr>
          <w:rFonts w:ascii="Arial" w:eastAsia="Times New Roman" w:hAnsi="Arial" w:cs="Arial"/>
          <w:b/>
          <w:snapToGrid w:val="0"/>
          <w:spacing w:val="-3"/>
          <w:szCs w:val="20"/>
          <w:lang w:eastAsia="fr-FR"/>
        </w:rPr>
        <w:t>Number listed (Foreign)</w:t>
      </w:r>
    </w:p>
    <w:p w14:paraId="27482DF1" w14:textId="48E7EF19" w:rsidR="002661F2" w:rsidRDefault="00841E7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41E7E">
        <w:rPr>
          <w:rFonts w:ascii="Arial" w:eastAsia="Times New Roman" w:hAnsi="Arial" w:cs="Arial"/>
          <w:b/>
          <w:snapToGrid w:val="0"/>
          <w:spacing w:val="-3"/>
          <w:szCs w:val="20"/>
          <w:lang w:eastAsia="fr-FR"/>
        </w:rPr>
        <w:t>Number listed (Total)</w:t>
      </w:r>
    </w:p>
    <w:p w14:paraId="04CC6196" w14:textId="724B0F97" w:rsidR="00841E7E" w:rsidRDefault="00841E7E" w:rsidP="00E91CD3">
      <w:pPr>
        <w:spacing w:after="0" w:line="240" w:lineRule="auto"/>
        <w:rPr>
          <w:rFonts w:ascii="Arial" w:eastAsia="Times New Roman" w:hAnsi="Arial" w:cs="Arial"/>
          <w:b/>
          <w:snapToGrid w:val="0"/>
          <w:spacing w:val="-3"/>
          <w:szCs w:val="20"/>
          <w:lang w:eastAsia="fr-FR"/>
        </w:rPr>
      </w:pPr>
    </w:p>
    <w:p w14:paraId="7EBF2F3C" w14:textId="1503DCCF" w:rsidR="00027941" w:rsidRPr="00F40910"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72086DAC" w14:textId="01DEC952" w:rsidR="00027941" w:rsidRDefault="008B280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These indicators</w:t>
      </w:r>
      <w:r w:rsidR="00027941" w:rsidRPr="00490F9F">
        <w:rPr>
          <w:rFonts w:ascii="Arial" w:hAnsi="Arial" w:cs="Arial"/>
          <w:spacing w:val="-3"/>
          <w:sz w:val="20"/>
        </w:rPr>
        <w:t xml:space="preserve"> </w:t>
      </w:r>
      <w:r>
        <w:rPr>
          <w:rFonts w:ascii="Arial" w:hAnsi="Arial" w:cs="Arial"/>
          <w:spacing w:val="-3"/>
          <w:sz w:val="20"/>
        </w:rPr>
        <w:t>set out</w:t>
      </w:r>
      <w:r w:rsidRPr="00490F9F">
        <w:rPr>
          <w:rFonts w:ascii="Arial" w:hAnsi="Arial" w:cs="Arial"/>
          <w:spacing w:val="-3"/>
          <w:sz w:val="20"/>
        </w:rPr>
        <w:t xml:space="preserve"> </w:t>
      </w:r>
      <w:r w:rsidR="00027941" w:rsidRPr="00490F9F">
        <w:rPr>
          <w:rFonts w:ascii="Arial" w:hAnsi="Arial" w:cs="Arial"/>
          <w:spacing w:val="-3"/>
          <w:sz w:val="20"/>
        </w:rPr>
        <w:t>the number of bonds listed</w:t>
      </w:r>
      <w:r w:rsidR="000A7622">
        <w:rPr>
          <w:rFonts w:ascii="Arial" w:hAnsi="Arial" w:cs="Arial"/>
          <w:spacing w:val="-3"/>
          <w:sz w:val="20"/>
        </w:rPr>
        <w:t xml:space="preserve"> broken out</w:t>
      </w:r>
      <w:r w:rsidR="00027941" w:rsidRPr="00490F9F">
        <w:rPr>
          <w:rFonts w:ascii="Arial" w:hAnsi="Arial" w:cs="Arial"/>
          <w:spacing w:val="-3"/>
          <w:sz w:val="20"/>
        </w:rPr>
        <w:t xml:space="preserve"> by the different categories of issuers</w:t>
      </w:r>
      <w:r w:rsidR="00DC34CF">
        <w:rPr>
          <w:rFonts w:ascii="Arial" w:hAnsi="Arial" w:cs="Arial"/>
          <w:spacing w:val="-3"/>
          <w:sz w:val="20"/>
        </w:rPr>
        <w:t xml:space="preserve">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0A7622">
        <w:rPr>
          <w:rFonts w:ascii="Arial" w:hAnsi="Arial" w:cs="Arial"/>
          <w:spacing w:val="-3"/>
          <w:sz w:val="20"/>
        </w:rPr>
        <w:t xml:space="preserve">, </w:t>
      </w:r>
      <w:r w:rsidR="00245D43" w:rsidRPr="00245D43">
        <w:rPr>
          <w:rFonts w:ascii="Arial" w:hAnsi="Arial" w:cs="Arial"/>
          <w:color w:val="002060"/>
          <w:spacing w:val="-3"/>
          <w:sz w:val="20"/>
          <w:szCs w:val="20"/>
          <w:u w:val="single"/>
        </w:rPr>
        <w:fldChar w:fldCharType="begin"/>
      </w:r>
      <w:r w:rsidR="00245D43" w:rsidRPr="00245D43">
        <w:rPr>
          <w:rFonts w:ascii="Arial" w:hAnsi="Arial" w:cs="Arial"/>
          <w:color w:val="002060"/>
          <w:spacing w:val="-3"/>
          <w:sz w:val="20"/>
          <w:szCs w:val="20"/>
          <w:u w:val="single"/>
        </w:rPr>
        <w:instrText xml:space="preserve"> REF _Ref13652166 \h  \* MERGEFORMAT </w:instrText>
      </w:r>
      <w:r w:rsidR="00245D43" w:rsidRPr="00245D43">
        <w:rPr>
          <w:rFonts w:ascii="Arial" w:hAnsi="Arial" w:cs="Arial"/>
          <w:color w:val="002060"/>
          <w:spacing w:val="-3"/>
          <w:sz w:val="20"/>
          <w:szCs w:val="20"/>
          <w:u w:val="single"/>
        </w:rPr>
      </w:r>
      <w:r w:rsidR="00245D43"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245D43" w:rsidRPr="00245D43">
        <w:rPr>
          <w:rFonts w:ascii="Arial" w:hAnsi="Arial" w:cs="Arial"/>
          <w:color w:val="002060"/>
          <w:spacing w:val="-3"/>
          <w:sz w:val="20"/>
          <w:szCs w:val="20"/>
          <w:u w:val="single"/>
        </w:rPr>
        <w:fldChar w:fldCharType="end"/>
      </w:r>
      <w:r w:rsidR="00245D43" w:rsidRPr="00245D43">
        <w:rPr>
          <w:rFonts w:ascii="Arial" w:hAnsi="Arial" w:cs="Arial"/>
          <w:color w:val="002060"/>
          <w:spacing w:val="-3"/>
          <w:sz w:val="20"/>
          <w:szCs w:val="20"/>
          <w:u w:val="single"/>
        </w:rPr>
        <w:t>,</w:t>
      </w:r>
      <w:r w:rsidR="00245D43">
        <w:rPr>
          <w:rFonts w:ascii="Arial" w:hAnsi="Arial" w:cs="Arial"/>
          <w:spacing w:val="-3"/>
          <w:sz w:val="20"/>
        </w:rPr>
        <w:t xml:space="preserve"> and</w:t>
      </w:r>
      <w:r w:rsidR="000A7622">
        <w:rPr>
          <w:rFonts w:ascii="Arial" w:hAnsi="Arial" w:cs="Arial"/>
          <w:spacing w:val="-3"/>
          <w:sz w:val="20"/>
        </w:rPr>
        <w:t xml:space="preserve">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proofErr w:type="gramStart"/>
      <w:r w:rsidR="0094528E" w:rsidRPr="0094528E">
        <w:rPr>
          <w:rFonts w:ascii="Arial" w:hAnsi="Arial" w:cs="Arial"/>
          <w:color w:val="002060"/>
          <w:sz w:val="20"/>
          <w:szCs w:val="20"/>
          <w:u w:val="single"/>
        </w:rPr>
        <w:t>Foreign</w:t>
      </w:r>
      <w:proofErr w:type="gramEnd"/>
      <w:r w:rsidR="0094528E" w:rsidRPr="0094528E">
        <w:rPr>
          <w:rFonts w:ascii="Arial" w:hAnsi="Arial" w:cs="Arial"/>
          <w:color w:val="002060"/>
          <w:sz w:val="20"/>
          <w:szCs w:val="20"/>
          <w:u w:val="single"/>
        </w:rPr>
        <w:t xml:space="preserve"> bonds</w:t>
      </w:r>
      <w:r w:rsidR="00BF5336" w:rsidRPr="00BF5336">
        <w:rPr>
          <w:rFonts w:ascii="Arial" w:hAnsi="Arial" w:cs="Arial"/>
          <w:color w:val="002060"/>
          <w:sz w:val="20"/>
          <w:szCs w:val="20"/>
          <w:u w:val="single"/>
        </w:rPr>
        <w:fldChar w:fldCharType="end"/>
      </w:r>
      <w:r w:rsidR="00FC5993">
        <w:rPr>
          <w:rFonts w:ascii="Arial" w:hAnsi="Arial" w:cs="Arial"/>
          <w:color w:val="002060"/>
          <w:sz w:val="20"/>
          <w:szCs w:val="20"/>
          <w:u w:val="single"/>
        </w:rPr>
        <w:t>)</w:t>
      </w:r>
      <w:r w:rsidR="000A7622">
        <w:rPr>
          <w:rFonts w:ascii="Arial" w:hAnsi="Arial" w:cs="Arial"/>
          <w:spacing w:val="-3"/>
          <w:sz w:val="20"/>
        </w:rPr>
        <w:t xml:space="preserve">. </w:t>
      </w:r>
      <w:r w:rsidR="00027941" w:rsidRPr="00490F9F">
        <w:rPr>
          <w:rFonts w:ascii="Arial" w:hAnsi="Arial" w:cs="Arial"/>
          <w:spacing w:val="-3"/>
          <w:sz w:val="20"/>
        </w:rPr>
        <w:t>A single issuer may list many securities with different maturities.</w:t>
      </w:r>
    </w:p>
    <w:p w14:paraId="7F33555A" w14:textId="77777777" w:rsidR="00E91CD3" w:rsidRPr="00F40910"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217043" w14:textId="55EF8D84" w:rsidR="00841E7E"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Example </w:t>
      </w:r>
    </w:p>
    <w:tbl>
      <w:tblPr>
        <w:tblpPr w:leftFromText="180" w:rightFromText="180" w:vertAnchor="text" w:horzAnchor="margin" w:tblpY="75"/>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730"/>
        <w:gridCol w:w="1843"/>
        <w:gridCol w:w="1701"/>
        <w:gridCol w:w="1023"/>
      </w:tblGrid>
      <w:tr w:rsidR="007E095F" w:rsidRPr="00490F9F" w14:paraId="40D16213" w14:textId="76E21C04" w:rsidTr="00F505A1">
        <w:tc>
          <w:tcPr>
            <w:tcW w:w="2659" w:type="dxa"/>
            <w:shd w:val="clear" w:color="auto" w:fill="00709E"/>
            <w:vAlign w:val="center"/>
          </w:tcPr>
          <w:p w14:paraId="59FB85DE" w14:textId="77777777" w:rsidR="007E095F" w:rsidRPr="00E20FA8" w:rsidRDefault="007E095F"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Bond</w:t>
            </w:r>
          </w:p>
        </w:tc>
        <w:tc>
          <w:tcPr>
            <w:tcW w:w="1730" w:type="dxa"/>
            <w:shd w:val="clear" w:color="auto" w:fill="00709E"/>
            <w:vAlign w:val="center"/>
          </w:tcPr>
          <w:p w14:paraId="214B75C9" w14:textId="77777777" w:rsidR="007E095F" w:rsidRPr="00490F9F" w:rsidRDefault="007E095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public bonds listed</w:t>
            </w:r>
          </w:p>
        </w:tc>
        <w:tc>
          <w:tcPr>
            <w:tcW w:w="1843" w:type="dxa"/>
            <w:shd w:val="clear" w:color="auto" w:fill="00709E"/>
            <w:vAlign w:val="center"/>
          </w:tcPr>
          <w:p w14:paraId="66F25537" w14:textId="77777777" w:rsidR="007E095F" w:rsidRPr="00490F9F" w:rsidRDefault="007E095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private bonds listed</w:t>
            </w:r>
          </w:p>
        </w:tc>
        <w:tc>
          <w:tcPr>
            <w:tcW w:w="1701" w:type="dxa"/>
            <w:shd w:val="clear" w:color="auto" w:fill="00709E"/>
            <w:vAlign w:val="center"/>
          </w:tcPr>
          <w:p w14:paraId="79BC1DD5" w14:textId="77777777" w:rsidR="007E095F" w:rsidRPr="00490F9F" w:rsidRDefault="007E095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foreign</w:t>
            </w:r>
            <w:r w:rsidRPr="00490F9F">
              <w:rPr>
                <w:rFonts w:ascii="Arial" w:hAnsi="Arial" w:cs="Arial"/>
                <w:b/>
                <w:color w:val="FFFFFF"/>
                <w:sz w:val="16"/>
                <w:szCs w:val="16"/>
              </w:rPr>
              <w:br/>
              <w:t>bonds listed</w:t>
            </w:r>
          </w:p>
        </w:tc>
        <w:tc>
          <w:tcPr>
            <w:tcW w:w="1023" w:type="dxa"/>
            <w:shd w:val="clear" w:color="auto" w:fill="00709E"/>
          </w:tcPr>
          <w:p w14:paraId="5B59C8CD" w14:textId="76F6B0B2" w:rsidR="007E095F" w:rsidRPr="00490F9F" w:rsidRDefault="007E095F" w:rsidP="00E91CD3">
            <w:pPr>
              <w:spacing w:after="0" w:line="240" w:lineRule="auto"/>
              <w:jc w:val="center"/>
              <w:rPr>
                <w:rFonts w:ascii="Arial" w:hAnsi="Arial" w:cs="Arial"/>
                <w:b/>
                <w:color w:val="FFFFFF"/>
                <w:sz w:val="16"/>
                <w:szCs w:val="16"/>
              </w:rPr>
            </w:pPr>
            <w:r>
              <w:rPr>
                <w:rFonts w:ascii="Arial" w:hAnsi="Arial" w:cs="Arial"/>
                <w:b/>
                <w:color w:val="FFFFFF"/>
                <w:sz w:val="16"/>
                <w:szCs w:val="16"/>
              </w:rPr>
              <w:t>Total</w:t>
            </w:r>
          </w:p>
        </w:tc>
      </w:tr>
      <w:tr w:rsidR="007E095F" w:rsidRPr="00490F9F" w14:paraId="687DC10E" w14:textId="039CEA4B" w:rsidTr="00F505A1">
        <w:tc>
          <w:tcPr>
            <w:tcW w:w="2659" w:type="dxa"/>
            <w:shd w:val="clear" w:color="auto" w:fill="00709E"/>
          </w:tcPr>
          <w:p w14:paraId="3BAC49BF" w14:textId="77777777" w:rsidR="007E095F" w:rsidRPr="00490F9F" w:rsidRDefault="007E095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public bonds  </w:t>
            </w:r>
          </w:p>
        </w:tc>
        <w:tc>
          <w:tcPr>
            <w:tcW w:w="1730" w:type="dxa"/>
            <w:vAlign w:val="center"/>
          </w:tcPr>
          <w:p w14:paraId="5B95EBDE" w14:textId="77777777" w:rsidR="007E095F" w:rsidRPr="00490F9F" w:rsidRDefault="007E095F" w:rsidP="00E91CD3">
            <w:pPr>
              <w:spacing w:after="0" w:line="240" w:lineRule="auto"/>
              <w:jc w:val="center"/>
              <w:rPr>
                <w:rFonts w:ascii="Arial" w:hAnsi="Arial" w:cs="Arial"/>
                <w:sz w:val="16"/>
                <w:szCs w:val="16"/>
              </w:rPr>
            </w:pPr>
            <w:r w:rsidRPr="00490F9F">
              <w:rPr>
                <w:rFonts w:ascii="Arial" w:hAnsi="Arial" w:cs="Arial"/>
                <w:sz w:val="16"/>
                <w:szCs w:val="16"/>
              </w:rPr>
              <w:t>5</w:t>
            </w:r>
          </w:p>
        </w:tc>
        <w:tc>
          <w:tcPr>
            <w:tcW w:w="1843" w:type="dxa"/>
            <w:vAlign w:val="center"/>
          </w:tcPr>
          <w:p w14:paraId="2186886E" w14:textId="77777777" w:rsidR="007E095F" w:rsidRPr="00490F9F" w:rsidRDefault="007E095F" w:rsidP="00E91CD3">
            <w:pPr>
              <w:spacing w:after="0" w:line="240" w:lineRule="auto"/>
              <w:jc w:val="center"/>
              <w:rPr>
                <w:rFonts w:ascii="Arial" w:hAnsi="Arial" w:cs="Arial"/>
                <w:sz w:val="16"/>
                <w:szCs w:val="16"/>
              </w:rPr>
            </w:pPr>
          </w:p>
        </w:tc>
        <w:tc>
          <w:tcPr>
            <w:tcW w:w="1701" w:type="dxa"/>
            <w:vAlign w:val="center"/>
          </w:tcPr>
          <w:p w14:paraId="412CA333" w14:textId="77777777" w:rsidR="007E095F" w:rsidRPr="00490F9F" w:rsidRDefault="007E095F" w:rsidP="00E91CD3">
            <w:pPr>
              <w:spacing w:after="0" w:line="240" w:lineRule="auto"/>
              <w:jc w:val="center"/>
              <w:rPr>
                <w:rFonts w:ascii="Arial" w:hAnsi="Arial" w:cs="Arial"/>
                <w:sz w:val="16"/>
                <w:szCs w:val="16"/>
              </w:rPr>
            </w:pPr>
          </w:p>
        </w:tc>
        <w:tc>
          <w:tcPr>
            <w:tcW w:w="1023" w:type="dxa"/>
          </w:tcPr>
          <w:p w14:paraId="35D4EA8E" w14:textId="54CDC707" w:rsidR="007E095F" w:rsidRPr="00490F9F" w:rsidRDefault="007E095F" w:rsidP="00E91CD3">
            <w:pPr>
              <w:spacing w:after="0" w:line="240" w:lineRule="auto"/>
              <w:jc w:val="center"/>
              <w:rPr>
                <w:rFonts w:ascii="Arial" w:hAnsi="Arial" w:cs="Arial"/>
                <w:sz w:val="16"/>
                <w:szCs w:val="16"/>
              </w:rPr>
            </w:pPr>
            <w:r>
              <w:rPr>
                <w:rFonts w:ascii="Arial" w:hAnsi="Arial" w:cs="Arial"/>
                <w:sz w:val="16"/>
                <w:szCs w:val="16"/>
              </w:rPr>
              <w:t>5</w:t>
            </w:r>
          </w:p>
        </w:tc>
      </w:tr>
      <w:tr w:rsidR="007E095F" w:rsidRPr="00490F9F" w14:paraId="2D22AA82" w14:textId="13F35B1D" w:rsidTr="00F505A1">
        <w:tc>
          <w:tcPr>
            <w:tcW w:w="2659" w:type="dxa"/>
            <w:shd w:val="clear" w:color="auto" w:fill="00709E"/>
          </w:tcPr>
          <w:p w14:paraId="3B6414A5" w14:textId="77777777" w:rsidR="007E095F" w:rsidRPr="00490F9F" w:rsidRDefault="007E095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private bonds </w:t>
            </w:r>
          </w:p>
        </w:tc>
        <w:tc>
          <w:tcPr>
            <w:tcW w:w="1730" w:type="dxa"/>
            <w:vAlign w:val="center"/>
          </w:tcPr>
          <w:p w14:paraId="0978E0A0" w14:textId="77777777" w:rsidR="007E095F" w:rsidRPr="00490F9F" w:rsidRDefault="007E095F" w:rsidP="00E91CD3">
            <w:pPr>
              <w:spacing w:after="0" w:line="240" w:lineRule="auto"/>
              <w:jc w:val="center"/>
              <w:rPr>
                <w:rFonts w:ascii="Arial" w:hAnsi="Arial" w:cs="Arial"/>
                <w:sz w:val="16"/>
                <w:szCs w:val="16"/>
              </w:rPr>
            </w:pPr>
          </w:p>
        </w:tc>
        <w:tc>
          <w:tcPr>
            <w:tcW w:w="1843" w:type="dxa"/>
            <w:vAlign w:val="center"/>
          </w:tcPr>
          <w:p w14:paraId="7D4E1610" w14:textId="77777777" w:rsidR="007E095F" w:rsidRPr="00490F9F" w:rsidRDefault="007E095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701" w:type="dxa"/>
            <w:vAlign w:val="center"/>
          </w:tcPr>
          <w:p w14:paraId="37B17001" w14:textId="77777777" w:rsidR="007E095F" w:rsidRPr="00490F9F" w:rsidRDefault="007E095F" w:rsidP="00E91CD3">
            <w:pPr>
              <w:spacing w:after="0" w:line="240" w:lineRule="auto"/>
              <w:jc w:val="center"/>
              <w:rPr>
                <w:rFonts w:ascii="Arial" w:hAnsi="Arial" w:cs="Arial"/>
                <w:sz w:val="16"/>
                <w:szCs w:val="16"/>
              </w:rPr>
            </w:pPr>
          </w:p>
        </w:tc>
        <w:tc>
          <w:tcPr>
            <w:tcW w:w="1023" w:type="dxa"/>
          </w:tcPr>
          <w:p w14:paraId="79FB3382" w14:textId="01F498AF" w:rsidR="007E095F" w:rsidRPr="00490F9F" w:rsidRDefault="007E095F" w:rsidP="00E91CD3">
            <w:pPr>
              <w:spacing w:after="0" w:line="240" w:lineRule="auto"/>
              <w:jc w:val="center"/>
              <w:rPr>
                <w:rFonts w:ascii="Arial" w:hAnsi="Arial" w:cs="Arial"/>
                <w:sz w:val="16"/>
                <w:szCs w:val="16"/>
              </w:rPr>
            </w:pPr>
            <w:r>
              <w:rPr>
                <w:rFonts w:ascii="Arial" w:hAnsi="Arial" w:cs="Arial"/>
                <w:sz w:val="16"/>
                <w:szCs w:val="16"/>
              </w:rPr>
              <w:t>2</w:t>
            </w:r>
          </w:p>
        </w:tc>
      </w:tr>
      <w:tr w:rsidR="007E095F" w:rsidRPr="00490F9F" w14:paraId="18DB6843" w14:textId="03256CD7" w:rsidTr="00F505A1">
        <w:tc>
          <w:tcPr>
            <w:tcW w:w="2659" w:type="dxa"/>
            <w:shd w:val="clear" w:color="auto" w:fill="00709E"/>
          </w:tcPr>
          <w:p w14:paraId="25F41665" w14:textId="77777777" w:rsidR="007E095F" w:rsidRPr="00490F9F" w:rsidRDefault="007E095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bonds </w:t>
            </w:r>
          </w:p>
        </w:tc>
        <w:tc>
          <w:tcPr>
            <w:tcW w:w="1730" w:type="dxa"/>
            <w:vAlign w:val="center"/>
          </w:tcPr>
          <w:p w14:paraId="200BDA04" w14:textId="77777777" w:rsidR="007E095F" w:rsidRPr="00490F9F" w:rsidRDefault="007E095F" w:rsidP="00E91CD3">
            <w:pPr>
              <w:spacing w:after="0" w:line="240" w:lineRule="auto"/>
              <w:jc w:val="center"/>
              <w:rPr>
                <w:rFonts w:ascii="Arial" w:hAnsi="Arial" w:cs="Arial"/>
                <w:sz w:val="16"/>
                <w:szCs w:val="16"/>
              </w:rPr>
            </w:pPr>
          </w:p>
        </w:tc>
        <w:tc>
          <w:tcPr>
            <w:tcW w:w="1843" w:type="dxa"/>
            <w:vAlign w:val="center"/>
          </w:tcPr>
          <w:p w14:paraId="01B77D36" w14:textId="77777777" w:rsidR="007E095F" w:rsidRPr="00490F9F" w:rsidRDefault="007E095F" w:rsidP="00E91CD3">
            <w:pPr>
              <w:spacing w:after="0" w:line="240" w:lineRule="auto"/>
              <w:jc w:val="center"/>
              <w:rPr>
                <w:rFonts w:ascii="Arial" w:hAnsi="Arial" w:cs="Arial"/>
                <w:sz w:val="16"/>
                <w:szCs w:val="16"/>
              </w:rPr>
            </w:pPr>
          </w:p>
        </w:tc>
        <w:tc>
          <w:tcPr>
            <w:tcW w:w="1701" w:type="dxa"/>
            <w:vAlign w:val="center"/>
          </w:tcPr>
          <w:p w14:paraId="774B251B" w14:textId="77777777" w:rsidR="007E095F" w:rsidRPr="00490F9F" w:rsidRDefault="007E095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023" w:type="dxa"/>
          </w:tcPr>
          <w:p w14:paraId="4DCD14B3" w14:textId="3F98B659" w:rsidR="007E095F" w:rsidRPr="00490F9F" w:rsidRDefault="007E095F" w:rsidP="00E91CD3">
            <w:pPr>
              <w:spacing w:after="0" w:line="240" w:lineRule="auto"/>
              <w:jc w:val="center"/>
              <w:rPr>
                <w:rFonts w:ascii="Arial" w:hAnsi="Arial" w:cs="Arial"/>
                <w:sz w:val="16"/>
                <w:szCs w:val="16"/>
              </w:rPr>
            </w:pPr>
            <w:r>
              <w:rPr>
                <w:rFonts w:ascii="Arial" w:hAnsi="Arial" w:cs="Arial"/>
                <w:sz w:val="16"/>
                <w:szCs w:val="16"/>
              </w:rPr>
              <w:t>1</w:t>
            </w:r>
          </w:p>
        </w:tc>
      </w:tr>
      <w:tr w:rsidR="007E095F" w:rsidRPr="00490F9F" w14:paraId="6E467D37" w14:textId="023DEEB7" w:rsidTr="00F505A1">
        <w:tc>
          <w:tcPr>
            <w:tcW w:w="2659" w:type="dxa"/>
            <w:shd w:val="clear" w:color="auto" w:fill="00709E"/>
          </w:tcPr>
          <w:p w14:paraId="343B88AA" w14:textId="77777777" w:rsidR="007E095F" w:rsidRPr="00490F9F" w:rsidRDefault="007E095F"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Domestic / Foreign sub-totals</w:t>
            </w:r>
          </w:p>
        </w:tc>
        <w:tc>
          <w:tcPr>
            <w:tcW w:w="1730" w:type="dxa"/>
            <w:vAlign w:val="center"/>
          </w:tcPr>
          <w:p w14:paraId="6AF6AFAE" w14:textId="77777777" w:rsidR="007E095F" w:rsidRPr="00490F9F" w:rsidRDefault="007E095F" w:rsidP="00E91CD3">
            <w:pPr>
              <w:spacing w:after="0" w:line="240" w:lineRule="auto"/>
              <w:jc w:val="center"/>
              <w:rPr>
                <w:rFonts w:ascii="Arial" w:hAnsi="Arial" w:cs="Arial"/>
                <w:b/>
                <w:sz w:val="16"/>
                <w:szCs w:val="16"/>
              </w:rPr>
            </w:pPr>
            <w:r w:rsidRPr="00490F9F">
              <w:rPr>
                <w:rFonts w:ascii="Arial" w:hAnsi="Arial" w:cs="Arial"/>
                <w:b/>
                <w:sz w:val="16"/>
                <w:szCs w:val="16"/>
              </w:rPr>
              <w:t>5</w:t>
            </w:r>
          </w:p>
        </w:tc>
        <w:tc>
          <w:tcPr>
            <w:tcW w:w="1843" w:type="dxa"/>
            <w:vAlign w:val="center"/>
          </w:tcPr>
          <w:p w14:paraId="14BEA2D2" w14:textId="77777777" w:rsidR="007E095F" w:rsidRPr="00490F9F" w:rsidRDefault="007E095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1701" w:type="dxa"/>
            <w:vAlign w:val="center"/>
          </w:tcPr>
          <w:p w14:paraId="70790876" w14:textId="77777777" w:rsidR="007E095F" w:rsidRPr="00490F9F" w:rsidRDefault="007E095F" w:rsidP="00E91CD3">
            <w:pPr>
              <w:spacing w:after="0" w:line="240" w:lineRule="auto"/>
              <w:jc w:val="center"/>
              <w:rPr>
                <w:rFonts w:ascii="Arial" w:hAnsi="Arial" w:cs="Arial"/>
                <w:b/>
                <w:sz w:val="16"/>
                <w:szCs w:val="16"/>
              </w:rPr>
            </w:pPr>
            <w:r w:rsidRPr="00490F9F">
              <w:rPr>
                <w:rFonts w:ascii="Arial" w:hAnsi="Arial" w:cs="Arial"/>
                <w:b/>
                <w:sz w:val="16"/>
                <w:szCs w:val="16"/>
              </w:rPr>
              <w:t>1</w:t>
            </w:r>
          </w:p>
        </w:tc>
        <w:tc>
          <w:tcPr>
            <w:tcW w:w="1023" w:type="dxa"/>
          </w:tcPr>
          <w:p w14:paraId="1CFB8DCB" w14:textId="3DC58148" w:rsidR="007E095F" w:rsidRPr="00490F9F" w:rsidRDefault="007E095F" w:rsidP="00E91CD3">
            <w:pPr>
              <w:spacing w:after="0" w:line="240" w:lineRule="auto"/>
              <w:jc w:val="center"/>
              <w:rPr>
                <w:rFonts w:ascii="Arial" w:hAnsi="Arial" w:cs="Arial"/>
                <w:b/>
                <w:sz w:val="16"/>
                <w:szCs w:val="16"/>
              </w:rPr>
            </w:pPr>
            <w:r>
              <w:rPr>
                <w:rFonts w:ascii="Arial" w:hAnsi="Arial" w:cs="Arial"/>
                <w:b/>
                <w:sz w:val="16"/>
                <w:szCs w:val="16"/>
              </w:rPr>
              <w:t>8</w:t>
            </w:r>
          </w:p>
        </w:tc>
      </w:tr>
    </w:tbl>
    <w:p w14:paraId="6214F132" w14:textId="5875E8C0"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67740C62" w14:textId="0E8E424E" w:rsidR="0079416E" w:rsidRDefault="0079416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total is the sum of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Pr="00BF5336">
        <w:rPr>
          <w:rFonts w:ascii="Arial" w:hAnsi="Arial" w:cs="Arial"/>
          <w:spacing w:val="-3"/>
          <w:sz w:val="20"/>
          <w:szCs w:val="20"/>
        </w:rPr>
        <w:t xml:space="preserve">,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_Ref13652166 \h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public bonds</w:t>
      </w:r>
      <w:r w:rsidR="00BF5336" w:rsidRPr="00BF5336">
        <w:rPr>
          <w:rFonts w:ascii="Arial" w:hAnsi="Arial" w:cs="Arial"/>
          <w:color w:val="002060"/>
          <w:sz w:val="20"/>
          <w:szCs w:val="20"/>
          <w:u w:val="single"/>
        </w:rPr>
        <w:fldChar w:fldCharType="end"/>
      </w:r>
      <w:r w:rsidR="00BF5336" w:rsidRPr="00BF5336">
        <w:rPr>
          <w:rFonts w:ascii="Arial" w:hAnsi="Arial" w:cs="Arial"/>
          <w:spacing w:val="-3"/>
          <w:sz w:val="20"/>
          <w:szCs w:val="20"/>
        </w:rPr>
        <w:t xml:space="preserve"> </w:t>
      </w:r>
      <w:r w:rsidRPr="00BF5336">
        <w:rPr>
          <w:rFonts w:ascii="Arial" w:hAnsi="Arial" w:cs="Arial"/>
          <w:spacing w:val="-3"/>
          <w:sz w:val="20"/>
          <w:szCs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proofErr w:type="gramStart"/>
      <w:r w:rsidR="0094528E" w:rsidRPr="0094528E">
        <w:rPr>
          <w:rFonts w:ascii="Arial" w:hAnsi="Arial" w:cs="Arial"/>
          <w:color w:val="002060"/>
          <w:sz w:val="20"/>
          <w:szCs w:val="20"/>
          <w:u w:val="single"/>
        </w:rPr>
        <w:t>Foreign</w:t>
      </w:r>
      <w:proofErr w:type="gramEnd"/>
      <w:r w:rsidR="0094528E" w:rsidRPr="0094528E">
        <w:rPr>
          <w:rFonts w:ascii="Arial" w:hAnsi="Arial" w:cs="Arial"/>
          <w:color w:val="002060"/>
          <w:sz w:val="20"/>
          <w:szCs w:val="20"/>
          <w:u w:val="single"/>
        </w:rPr>
        <w:t xml:space="preserve"> bonds</w:t>
      </w:r>
      <w:r w:rsidR="00BF5336" w:rsidRPr="00BF5336">
        <w:rPr>
          <w:rFonts w:ascii="Arial" w:hAnsi="Arial" w:cs="Arial"/>
          <w:color w:val="002060"/>
          <w:sz w:val="20"/>
          <w:szCs w:val="20"/>
          <w:u w:val="single"/>
        </w:rPr>
        <w:fldChar w:fldCharType="end"/>
      </w:r>
      <w:r w:rsidR="00692C8F">
        <w:rPr>
          <w:rFonts w:ascii="Arial" w:hAnsi="Arial" w:cs="Arial"/>
          <w:spacing w:val="-3"/>
          <w:sz w:val="20"/>
        </w:rPr>
        <w:t xml:space="preserve">. </w:t>
      </w:r>
    </w:p>
    <w:p w14:paraId="24562B86" w14:textId="77777777" w:rsidR="00E91CD3" w:rsidRPr="002A6455"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F9F1D88" w14:textId="3C918B6C" w:rsidR="00CB4410"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(Domestic private sector)</w:t>
      </w:r>
    </w:p>
    <w:p w14:paraId="463CED75" w14:textId="7A4A38E8" w:rsidR="00CB4410"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(Domestic public sector)</w:t>
      </w:r>
    </w:p>
    <w:p w14:paraId="2A6E6F82" w14:textId="0C762627" w:rsidR="00CB4410"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(Foreign)</w:t>
      </w:r>
    </w:p>
    <w:p w14:paraId="68F9BD10" w14:textId="2BA2620A" w:rsidR="00027941"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(Total)</w:t>
      </w:r>
    </w:p>
    <w:p w14:paraId="6E2C515B" w14:textId="734C9AED"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775A6F29" w14:textId="000104BF" w:rsidR="006E7C60" w:rsidRPr="002A6455"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13014E36" w14:textId="5849E0E1" w:rsidR="006E7C60"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This </w:t>
      </w:r>
      <w:r w:rsidR="009D246F">
        <w:rPr>
          <w:rFonts w:ascii="Arial" w:hAnsi="Arial" w:cs="Arial"/>
          <w:spacing w:val="-3"/>
          <w:sz w:val="20"/>
        </w:rPr>
        <w:t>indicator</w:t>
      </w:r>
      <w:r w:rsidR="009D246F" w:rsidRPr="00490F9F">
        <w:rPr>
          <w:rFonts w:ascii="Arial" w:hAnsi="Arial" w:cs="Arial"/>
          <w:spacing w:val="-3"/>
          <w:sz w:val="20"/>
        </w:rPr>
        <w:t xml:space="preserve"> </w:t>
      </w:r>
      <w:r w:rsidR="009D246F" w:rsidRPr="00DF1355">
        <w:rPr>
          <w:rFonts w:ascii="Arial" w:hAnsi="Arial" w:cs="Arial"/>
          <w:spacing w:val="-3"/>
          <w:sz w:val="20"/>
        </w:rPr>
        <w:t>describes</w:t>
      </w:r>
      <w:r w:rsidR="009D246F" w:rsidRPr="00490F9F">
        <w:rPr>
          <w:rFonts w:ascii="Arial" w:hAnsi="Arial" w:cs="Arial"/>
          <w:spacing w:val="-3"/>
          <w:sz w:val="20"/>
        </w:rPr>
        <w:t xml:space="preserve"> </w:t>
      </w:r>
      <w:r w:rsidRPr="00490F9F">
        <w:rPr>
          <w:rFonts w:ascii="Arial" w:hAnsi="Arial" w:cs="Arial"/>
          <w:spacing w:val="-3"/>
          <w:sz w:val="20"/>
        </w:rPr>
        <w:t xml:space="preserve">the number of new bonds listed during a given </w:t>
      </w:r>
      <w:r w:rsidR="009835AB">
        <w:rPr>
          <w:rFonts w:ascii="Arial" w:hAnsi="Arial" w:cs="Arial"/>
          <w:spacing w:val="-3"/>
          <w:sz w:val="20"/>
        </w:rPr>
        <w:t xml:space="preserve">period (month or </w:t>
      </w:r>
      <w:r w:rsidRPr="00490F9F">
        <w:rPr>
          <w:rFonts w:ascii="Arial" w:hAnsi="Arial" w:cs="Arial"/>
          <w:spacing w:val="-3"/>
          <w:sz w:val="20"/>
        </w:rPr>
        <w:t>year</w:t>
      </w:r>
      <w:r w:rsidR="009835AB">
        <w:rPr>
          <w:rFonts w:ascii="Arial" w:hAnsi="Arial" w:cs="Arial"/>
          <w:spacing w:val="-3"/>
          <w:sz w:val="20"/>
        </w:rPr>
        <w:t>)</w:t>
      </w:r>
      <w:r w:rsidR="00BF5336">
        <w:rPr>
          <w:rFonts w:ascii="Arial" w:hAnsi="Arial" w:cs="Arial"/>
          <w:spacing w:val="-3"/>
          <w:sz w:val="20"/>
        </w:rPr>
        <w:t xml:space="preserve"> </w:t>
      </w:r>
      <w:r w:rsidRPr="00490F9F">
        <w:rPr>
          <w:rFonts w:ascii="Arial" w:hAnsi="Arial" w:cs="Arial"/>
          <w:spacing w:val="-3"/>
          <w:sz w:val="20"/>
        </w:rPr>
        <w:t xml:space="preserve">issued by the different categories of issuers, and split into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BF5336">
        <w:rPr>
          <w:rFonts w:ascii="Arial" w:hAnsi="Arial" w:cs="Arial"/>
          <w:spacing w:val="-3"/>
          <w:sz w:val="20"/>
        </w:rPr>
        <w:t xml:space="preserve">, </w:t>
      </w:r>
      <w:r w:rsidR="00DC3DF3" w:rsidRPr="00245D43">
        <w:rPr>
          <w:rFonts w:ascii="Arial" w:hAnsi="Arial" w:cs="Arial"/>
          <w:color w:val="002060"/>
          <w:spacing w:val="-3"/>
          <w:sz w:val="20"/>
          <w:szCs w:val="20"/>
          <w:u w:val="single"/>
        </w:rPr>
        <w:fldChar w:fldCharType="begin"/>
      </w:r>
      <w:r w:rsidR="00DC3DF3" w:rsidRPr="00245D43">
        <w:rPr>
          <w:rFonts w:ascii="Arial" w:hAnsi="Arial" w:cs="Arial"/>
          <w:color w:val="002060"/>
          <w:spacing w:val="-3"/>
          <w:sz w:val="20"/>
          <w:szCs w:val="20"/>
          <w:u w:val="single"/>
        </w:rPr>
        <w:instrText xml:space="preserve"> REF _Ref13652166 \h  \* MERGEFORMAT </w:instrText>
      </w:r>
      <w:r w:rsidR="00DC3DF3" w:rsidRPr="00245D43">
        <w:rPr>
          <w:rFonts w:ascii="Arial" w:hAnsi="Arial" w:cs="Arial"/>
          <w:color w:val="002060"/>
          <w:spacing w:val="-3"/>
          <w:sz w:val="20"/>
          <w:szCs w:val="20"/>
          <w:u w:val="single"/>
        </w:rPr>
      </w:r>
      <w:r w:rsidR="00DC3DF3"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DC3DF3" w:rsidRPr="00245D43">
        <w:rPr>
          <w:rFonts w:ascii="Arial" w:hAnsi="Arial" w:cs="Arial"/>
          <w:color w:val="002060"/>
          <w:spacing w:val="-3"/>
          <w:sz w:val="20"/>
          <w:szCs w:val="20"/>
          <w:u w:val="single"/>
        </w:rPr>
        <w:fldChar w:fldCharType="end"/>
      </w:r>
      <w:r w:rsidR="00DC3DF3">
        <w:rPr>
          <w:rFonts w:ascii="Arial" w:hAnsi="Arial" w:cs="Arial"/>
          <w:color w:val="002060"/>
          <w:spacing w:val="-3"/>
          <w:sz w:val="20"/>
          <w:szCs w:val="20"/>
          <w:u w:val="single"/>
        </w:rPr>
        <w:t xml:space="preserve"> </w:t>
      </w:r>
      <w:r w:rsidR="00BF5336">
        <w:rPr>
          <w:rFonts w:ascii="Arial" w:hAnsi="Arial" w:cs="Arial"/>
          <w:spacing w:val="-3"/>
          <w:sz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BF5336" w:rsidRPr="00BF5336">
        <w:rPr>
          <w:rFonts w:ascii="Arial" w:hAnsi="Arial" w:cs="Arial"/>
          <w:color w:val="002060"/>
          <w:sz w:val="20"/>
          <w:szCs w:val="20"/>
          <w:u w:val="single"/>
        </w:rPr>
        <w:fldChar w:fldCharType="end"/>
      </w:r>
      <w:r w:rsidR="00BF5336">
        <w:rPr>
          <w:rFonts w:ascii="Arial" w:hAnsi="Arial" w:cs="Arial"/>
          <w:spacing w:val="-3"/>
          <w:sz w:val="20"/>
        </w:rPr>
        <w:t>.</w:t>
      </w:r>
    </w:p>
    <w:p w14:paraId="2C671529"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DD257FB" w14:textId="77777777" w:rsidR="00F11F09" w:rsidRDefault="00F11F09">
      <w:pPr>
        <w:rPr>
          <w:rFonts w:ascii="Arial" w:hAnsi="Arial" w:cs="Arial"/>
          <w:bCs/>
          <w:i/>
          <w:iCs/>
          <w:spacing w:val="-3"/>
          <w:sz w:val="20"/>
          <w:u w:val="single"/>
        </w:rPr>
      </w:pPr>
      <w:r>
        <w:rPr>
          <w:rFonts w:ascii="Arial" w:hAnsi="Arial" w:cs="Arial"/>
          <w:bCs/>
          <w:i/>
          <w:iCs/>
          <w:spacing w:val="-3"/>
          <w:sz w:val="20"/>
          <w:u w:val="single"/>
        </w:rPr>
        <w:br w:type="page"/>
      </w:r>
    </w:p>
    <w:p w14:paraId="1AF5178F" w14:textId="68A99BFE" w:rsidR="006E7C60" w:rsidRPr="001062CF"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lastRenderedPageBreak/>
        <w:t xml:space="preserve">Example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9"/>
        <w:gridCol w:w="2019"/>
        <w:gridCol w:w="1449"/>
        <w:gridCol w:w="1134"/>
      </w:tblGrid>
      <w:tr w:rsidR="009D246F" w:rsidRPr="00490F9F" w14:paraId="664BDCFC" w14:textId="51B28041" w:rsidTr="00F505A1">
        <w:trPr>
          <w:trHeight w:val="469"/>
        </w:trPr>
        <w:tc>
          <w:tcPr>
            <w:tcW w:w="2310" w:type="dxa"/>
            <w:shd w:val="clear" w:color="auto" w:fill="00709E"/>
            <w:vAlign w:val="center"/>
          </w:tcPr>
          <w:p w14:paraId="47958C62"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Bond</w:t>
            </w:r>
          </w:p>
        </w:tc>
        <w:tc>
          <w:tcPr>
            <w:tcW w:w="2019" w:type="dxa"/>
            <w:shd w:val="clear" w:color="auto" w:fill="00709E"/>
            <w:vAlign w:val="center"/>
          </w:tcPr>
          <w:p w14:paraId="4F3777B9"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public bonds newly listed</w:t>
            </w:r>
          </w:p>
        </w:tc>
        <w:tc>
          <w:tcPr>
            <w:tcW w:w="2019" w:type="dxa"/>
            <w:shd w:val="clear" w:color="auto" w:fill="00709E"/>
            <w:vAlign w:val="center"/>
          </w:tcPr>
          <w:p w14:paraId="1DF8D22B"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private bonds newly listed</w:t>
            </w:r>
          </w:p>
        </w:tc>
        <w:tc>
          <w:tcPr>
            <w:tcW w:w="1449" w:type="dxa"/>
            <w:shd w:val="clear" w:color="auto" w:fill="00709E"/>
            <w:vAlign w:val="center"/>
          </w:tcPr>
          <w:p w14:paraId="6DA38CEA"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foreign</w:t>
            </w:r>
          </w:p>
          <w:p w14:paraId="3661F048"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bonds newly listed</w:t>
            </w:r>
          </w:p>
        </w:tc>
        <w:tc>
          <w:tcPr>
            <w:tcW w:w="1134" w:type="dxa"/>
            <w:shd w:val="clear" w:color="auto" w:fill="00709E"/>
          </w:tcPr>
          <w:p w14:paraId="47EF21CB" w14:textId="5255108C" w:rsidR="009D246F" w:rsidRPr="00490F9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Total</w:t>
            </w:r>
          </w:p>
        </w:tc>
      </w:tr>
      <w:tr w:rsidR="009D246F" w:rsidRPr="00490F9F" w14:paraId="077FD8DB" w14:textId="3BF03CF7" w:rsidTr="00F505A1">
        <w:trPr>
          <w:trHeight w:val="234"/>
        </w:trPr>
        <w:tc>
          <w:tcPr>
            <w:tcW w:w="2310" w:type="dxa"/>
            <w:shd w:val="clear" w:color="auto" w:fill="00709E"/>
          </w:tcPr>
          <w:p w14:paraId="07699FCB"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public bonds  </w:t>
            </w:r>
          </w:p>
        </w:tc>
        <w:tc>
          <w:tcPr>
            <w:tcW w:w="2019" w:type="dxa"/>
            <w:vAlign w:val="center"/>
          </w:tcPr>
          <w:p w14:paraId="7A23E5F7" w14:textId="77777777" w:rsidR="009D246F" w:rsidRPr="00490F9F" w:rsidRDefault="009D246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2019" w:type="dxa"/>
            <w:vAlign w:val="center"/>
          </w:tcPr>
          <w:p w14:paraId="4E3A2FE9" w14:textId="77777777" w:rsidR="009D246F" w:rsidRPr="00490F9F" w:rsidRDefault="009D246F" w:rsidP="00E91CD3">
            <w:pPr>
              <w:spacing w:after="0" w:line="240" w:lineRule="auto"/>
              <w:jc w:val="center"/>
              <w:rPr>
                <w:rFonts w:ascii="Arial" w:hAnsi="Arial" w:cs="Arial"/>
                <w:sz w:val="16"/>
                <w:szCs w:val="16"/>
              </w:rPr>
            </w:pPr>
          </w:p>
        </w:tc>
        <w:tc>
          <w:tcPr>
            <w:tcW w:w="1449" w:type="dxa"/>
            <w:vAlign w:val="center"/>
          </w:tcPr>
          <w:p w14:paraId="294CEF2A" w14:textId="77777777" w:rsidR="009D246F" w:rsidRPr="00490F9F" w:rsidRDefault="009D246F" w:rsidP="00E91CD3">
            <w:pPr>
              <w:spacing w:after="0" w:line="240" w:lineRule="auto"/>
              <w:jc w:val="center"/>
              <w:rPr>
                <w:rFonts w:ascii="Arial" w:hAnsi="Arial" w:cs="Arial"/>
                <w:sz w:val="16"/>
                <w:szCs w:val="16"/>
              </w:rPr>
            </w:pPr>
          </w:p>
        </w:tc>
        <w:tc>
          <w:tcPr>
            <w:tcW w:w="1134" w:type="dxa"/>
          </w:tcPr>
          <w:p w14:paraId="0A5FAFDE" w14:textId="24689C62" w:rsidR="009D246F" w:rsidRPr="00490F9F" w:rsidRDefault="009D246F" w:rsidP="00E91CD3">
            <w:pPr>
              <w:spacing w:after="0" w:line="240" w:lineRule="auto"/>
              <w:jc w:val="center"/>
              <w:rPr>
                <w:rFonts w:ascii="Arial" w:hAnsi="Arial" w:cs="Arial"/>
                <w:sz w:val="16"/>
                <w:szCs w:val="16"/>
              </w:rPr>
            </w:pPr>
            <w:r>
              <w:rPr>
                <w:rFonts w:ascii="Arial" w:hAnsi="Arial" w:cs="Arial"/>
                <w:sz w:val="16"/>
                <w:szCs w:val="16"/>
              </w:rPr>
              <w:t>2</w:t>
            </w:r>
          </w:p>
        </w:tc>
      </w:tr>
      <w:tr w:rsidR="009D246F" w:rsidRPr="00490F9F" w14:paraId="5472042A" w14:textId="13EA8CDA" w:rsidTr="00F505A1">
        <w:trPr>
          <w:trHeight w:val="234"/>
        </w:trPr>
        <w:tc>
          <w:tcPr>
            <w:tcW w:w="2310" w:type="dxa"/>
            <w:shd w:val="clear" w:color="auto" w:fill="00709E"/>
          </w:tcPr>
          <w:p w14:paraId="4EAEFEAF"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private bonds </w:t>
            </w:r>
          </w:p>
        </w:tc>
        <w:tc>
          <w:tcPr>
            <w:tcW w:w="2019" w:type="dxa"/>
            <w:vAlign w:val="center"/>
          </w:tcPr>
          <w:p w14:paraId="2A6D5119" w14:textId="77777777" w:rsidR="009D246F" w:rsidRPr="00490F9F" w:rsidRDefault="009D246F" w:rsidP="00E91CD3">
            <w:pPr>
              <w:spacing w:after="0" w:line="240" w:lineRule="auto"/>
              <w:jc w:val="center"/>
              <w:rPr>
                <w:rFonts w:ascii="Arial" w:hAnsi="Arial" w:cs="Arial"/>
                <w:sz w:val="16"/>
                <w:szCs w:val="16"/>
              </w:rPr>
            </w:pPr>
          </w:p>
        </w:tc>
        <w:tc>
          <w:tcPr>
            <w:tcW w:w="2019" w:type="dxa"/>
            <w:vAlign w:val="center"/>
          </w:tcPr>
          <w:p w14:paraId="3ECCF789" w14:textId="77777777" w:rsidR="009D246F" w:rsidRPr="00490F9F" w:rsidRDefault="009D246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49" w:type="dxa"/>
            <w:vAlign w:val="center"/>
          </w:tcPr>
          <w:p w14:paraId="5841193C" w14:textId="77777777" w:rsidR="009D246F" w:rsidRPr="00490F9F" w:rsidRDefault="009D246F" w:rsidP="00E91CD3">
            <w:pPr>
              <w:spacing w:after="0" w:line="240" w:lineRule="auto"/>
              <w:jc w:val="center"/>
              <w:rPr>
                <w:rFonts w:ascii="Arial" w:hAnsi="Arial" w:cs="Arial"/>
                <w:sz w:val="16"/>
                <w:szCs w:val="16"/>
              </w:rPr>
            </w:pPr>
          </w:p>
        </w:tc>
        <w:tc>
          <w:tcPr>
            <w:tcW w:w="1134" w:type="dxa"/>
          </w:tcPr>
          <w:p w14:paraId="282A3953" w14:textId="5C44270E" w:rsidR="009D246F" w:rsidRPr="00490F9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rsidRPr="00490F9F" w14:paraId="3BD3CC88" w14:textId="76E5EC7B" w:rsidTr="00F505A1">
        <w:trPr>
          <w:trHeight w:val="234"/>
        </w:trPr>
        <w:tc>
          <w:tcPr>
            <w:tcW w:w="2310" w:type="dxa"/>
            <w:shd w:val="clear" w:color="auto" w:fill="00709E"/>
          </w:tcPr>
          <w:p w14:paraId="35169248"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bonds </w:t>
            </w:r>
          </w:p>
        </w:tc>
        <w:tc>
          <w:tcPr>
            <w:tcW w:w="2019" w:type="dxa"/>
            <w:vAlign w:val="center"/>
          </w:tcPr>
          <w:p w14:paraId="3DF69186" w14:textId="77777777" w:rsidR="009D246F" w:rsidRPr="00490F9F" w:rsidRDefault="009D246F" w:rsidP="00E91CD3">
            <w:pPr>
              <w:spacing w:after="0" w:line="240" w:lineRule="auto"/>
              <w:jc w:val="center"/>
              <w:rPr>
                <w:rFonts w:ascii="Arial" w:hAnsi="Arial" w:cs="Arial"/>
                <w:sz w:val="16"/>
                <w:szCs w:val="16"/>
              </w:rPr>
            </w:pPr>
          </w:p>
        </w:tc>
        <w:tc>
          <w:tcPr>
            <w:tcW w:w="2019" w:type="dxa"/>
            <w:vAlign w:val="center"/>
          </w:tcPr>
          <w:p w14:paraId="37399274" w14:textId="77777777" w:rsidR="009D246F" w:rsidRPr="00490F9F" w:rsidRDefault="009D246F" w:rsidP="00E91CD3">
            <w:pPr>
              <w:spacing w:after="0" w:line="240" w:lineRule="auto"/>
              <w:jc w:val="center"/>
              <w:rPr>
                <w:rFonts w:ascii="Arial" w:hAnsi="Arial" w:cs="Arial"/>
                <w:sz w:val="16"/>
                <w:szCs w:val="16"/>
              </w:rPr>
            </w:pPr>
          </w:p>
        </w:tc>
        <w:tc>
          <w:tcPr>
            <w:tcW w:w="1449" w:type="dxa"/>
            <w:vAlign w:val="center"/>
          </w:tcPr>
          <w:p w14:paraId="36B43EA3" w14:textId="77777777" w:rsidR="009D246F" w:rsidRPr="00490F9F" w:rsidRDefault="009D246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134" w:type="dxa"/>
          </w:tcPr>
          <w:p w14:paraId="6DAE27E3" w14:textId="3D9B1A8E" w:rsidR="009D246F" w:rsidRPr="00490F9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rsidRPr="00490F9F" w14:paraId="3DC21E7E" w14:textId="4D3D1D62" w:rsidTr="00F505A1">
        <w:trPr>
          <w:trHeight w:val="234"/>
        </w:trPr>
        <w:tc>
          <w:tcPr>
            <w:tcW w:w="2310" w:type="dxa"/>
            <w:shd w:val="clear" w:color="auto" w:fill="00709E"/>
          </w:tcPr>
          <w:p w14:paraId="475A44AA" w14:textId="77777777" w:rsidR="009D246F" w:rsidRPr="00490F9F" w:rsidRDefault="009D246F"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Domestic / Foreign sub-totals</w:t>
            </w:r>
          </w:p>
        </w:tc>
        <w:tc>
          <w:tcPr>
            <w:tcW w:w="2019" w:type="dxa"/>
            <w:vAlign w:val="center"/>
          </w:tcPr>
          <w:p w14:paraId="6D08FDA1" w14:textId="77777777" w:rsidR="009D246F" w:rsidRPr="00490F9F" w:rsidRDefault="009D246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2019" w:type="dxa"/>
            <w:vAlign w:val="center"/>
          </w:tcPr>
          <w:p w14:paraId="0CF6FB75" w14:textId="77777777" w:rsidR="009D246F" w:rsidRPr="00490F9F" w:rsidRDefault="009D246F" w:rsidP="00E91CD3">
            <w:pPr>
              <w:spacing w:after="0" w:line="240" w:lineRule="auto"/>
              <w:jc w:val="center"/>
              <w:rPr>
                <w:rFonts w:ascii="Arial" w:hAnsi="Arial" w:cs="Arial"/>
                <w:b/>
                <w:sz w:val="16"/>
                <w:szCs w:val="16"/>
              </w:rPr>
            </w:pPr>
            <w:r w:rsidRPr="00490F9F">
              <w:rPr>
                <w:rFonts w:ascii="Arial" w:hAnsi="Arial" w:cs="Arial"/>
                <w:b/>
                <w:sz w:val="16"/>
                <w:szCs w:val="16"/>
              </w:rPr>
              <w:t>1</w:t>
            </w:r>
          </w:p>
        </w:tc>
        <w:tc>
          <w:tcPr>
            <w:tcW w:w="1449" w:type="dxa"/>
            <w:vAlign w:val="center"/>
          </w:tcPr>
          <w:p w14:paraId="7A19759E" w14:textId="77777777" w:rsidR="009D246F" w:rsidRPr="00490F9F" w:rsidRDefault="009D246F" w:rsidP="00E91CD3">
            <w:pPr>
              <w:spacing w:after="0" w:line="240" w:lineRule="auto"/>
              <w:jc w:val="center"/>
              <w:rPr>
                <w:rFonts w:ascii="Arial" w:hAnsi="Arial" w:cs="Arial"/>
                <w:b/>
                <w:sz w:val="16"/>
                <w:szCs w:val="16"/>
              </w:rPr>
            </w:pPr>
            <w:r w:rsidRPr="00490F9F">
              <w:rPr>
                <w:rFonts w:ascii="Arial" w:hAnsi="Arial" w:cs="Arial"/>
                <w:b/>
                <w:sz w:val="16"/>
                <w:szCs w:val="16"/>
              </w:rPr>
              <w:t>1</w:t>
            </w:r>
          </w:p>
        </w:tc>
        <w:tc>
          <w:tcPr>
            <w:tcW w:w="1134" w:type="dxa"/>
          </w:tcPr>
          <w:p w14:paraId="3C9D246D" w14:textId="02568498" w:rsidR="009D246F" w:rsidRPr="00490F9F" w:rsidRDefault="009D246F" w:rsidP="00E91CD3">
            <w:pPr>
              <w:spacing w:after="0" w:line="240" w:lineRule="auto"/>
              <w:jc w:val="center"/>
              <w:rPr>
                <w:rFonts w:ascii="Arial" w:hAnsi="Arial" w:cs="Arial"/>
                <w:b/>
                <w:sz w:val="16"/>
                <w:szCs w:val="16"/>
              </w:rPr>
            </w:pPr>
            <w:r>
              <w:rPr>
                <w:rFonts w:ascii="Arial" w:hAnsi="Arial" w:cs="Arial"/>
                <w:b/>
                <w:sz w:val="16"/>
                <w:szCs w:val="16"/>
              </w:rPr>
              <w:t>4</w:t>
            </w:r>
          </w:p>
        </w:tc>
      </w:tr>
    </w:tbl>
    <w:p w14:paraId="0497E2FE" w14:textId="77777777" w:rsidR="006D42D1" w:rsidRDefault="006D42D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A193C2D" w14:textId="5FB1474A" w:rsidR="006E7C60"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total is the sum of Domestic private, </w:t>
      </w:r>
      <w:proofErr w:type="gramStart"/>
      <w:r>
        <w:rPr>
          <w:rFonts w:ascii="Arial" w:hAnsi="Arial" w:cs="Arial"/>
          <w:spacing w:val="-3"/>
          <w:sz w:val="20"/>
        </w:rPr>
        <w:t>Domestic</w:t>
      </w:r>
      <w:proofErr w:type="gramEnd"/>
      <w:r>
        <w:rPr>
          <w:rFonts w:ascii="Arial" w:hAnsi="Arial" w:cs="Arial"/>
          <w:spacing w:val="-3"/>
          <w:sz w:val="20"/>
        </w:rPr>
        <w:t xml:space="preserve"> public and Foreign </w:t>
      </w:r>
      <w:r w:rsidR="00716108">
        <w:rPr>
          <w:rFonts w:ascii="Arial" w:hAnsi="Arial" w:cs="Arial"/>
          <w:spacing w:val="-3"/>
          <w:sz w:val="20"/>
        </w:rPr>
        <w:t xml:space="preserve">new </w:t>
      </w:r>
      <w:r>
        <w:rPr>
          <w:rFonts w:ascii="Arial" w:hAnsi="Arial" w:cs="Arial"/>
          <w:spacing w:val="-3"/>
          <w:sz w:val="20"/>
        </w:rPr>
        <w:t xml:space="preserve">listings. </w:t>
      </w:r>
    </w:p>
    <w:p w14:paraId="2F08D92C" w14:textId="77777777" w:rsidR="00E91CD3" w:rsidRPr="00E20FA8"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2014024" w14:textId="5CCCA61C" w:rsidR="00E3791B" w:rsidRPr="001062CF"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domestic private sector)</w:t>
      </w:r>
    </w:p>
    <w:p w14:paraId="15067FF8" w14:textId="320D61A8" w:rsidR="00E3791B" w:rsidRPr="001062CF"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domestic public sector)</w:t>
      </w:r>
    </w:p>
    <w:p w14:paraId="35680D3C" w14:textId="46682992" w:rsidR="00E3791B" w:rsidRPr="001062CF"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foreign)</w:t>
      </w:r>
    </w:p>
    <w:p w14:paraId="73D07CDA" w14:textId="2502E3B6" w:rsidR="00E3791B"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total)</w:t>
      </w:r>
    </w:p>
    <w:p w14:paraId="771DF602" w14:textId="2AA03100"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domestic private sector)</w:t>
      </w:r>
    </w:p>
    <w:p w14:paraId="53739041" w14:textId="5E84A770"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domestic public sector)</w:t>
      </w:r>
    </w:p>
    <w:p w14:paraId="1371EC40" w14:textId="221856BF"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foreign)</w:t>
      </w:r>
    </w:p>
    <w:p w14:paraId="1481168A" w14:textId="1AC495CF"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total)</w:t>
      </w:r>
    </w:p>
    <w:p w14:paraId="374A63F5" w14:textId="02B3F76D"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 domestic private sector)</w:t>
      </w:r>
    </w:p>
    <w:p w14:paraId="3BE96DD8" w14:textId="4D27C02D"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 domestic public sector)</w:t>
      </w:r>
    </w:p>
    <w:p w14:paraId="0527C805" w14:textId="0904654E"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 foreign)</w:t>
      </w:r>
    </w:p>
    <w:p w14:paraId="62312568" w14:textId="08AF1B7C" w:rsidR="004A0CF0" w:rsidRPr="00E3791B" w:rsidRDefault="004A0CF0" w:rsidP="00E91CD3">
      <w:pPr>
        <w:spacing w:after="0" w:line="240" w:lineRule="auto"/>
        <w:rPr>
          <w:rFonts w:ascii="Arial" w:hAnsi="Arial" w:cs="Arial"/>
          <w:bCs/>
          <w:i/>
          <w:iCs/>
          <w:spacing w:val="-3"/>
          <w:sz w:val="20"/>
          <w:u w:val="single"/>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w:t>
      </w:r>
      <w:r w:rsidRPr="00E3791B">
        <w:rPr>
          <w:rFonts w:ascii="Arial" w:hAnsi="Arial" w:cs="Arial"/>
          <w:bCs/>
          <w:i/>
          <w:iCs/>
          <w:spacing w:val="-3"/>
          <w:sz w:val="20"/>
          <w:u w:val="single"/>
        </w:rPr>
        <w:t>)</w:t>
      </w:r>
    </w:p>
    <w:p w14:paraId="44569C96" w14:textId="49C1FCF6" w:rsidR="00E3791B" w:rsidRDefault="00E3791B" w:rsidP="00E91CD3">
      <w:pPr>
        <w:spacing w:after="0" w:line="240" w:lineRule="auto"/>
        <w:rPr>
          <w:rFonts w:ascii="Arial" w:eastAsia="Times New Roman" w:hAnsi="Arial" w:cs="Arial"/>
          <w:b/>
          <w:snapToGrid w:val="0"/>
          <w:spacing w:val="-3"/>
          <w:szCs w:val="20"/>
          <w:lang w:eastAsia="fr-FR"/>
        </w:rPr>
      </w:pPr>
    </w:p>
    <w:p w14:paraId="151E55AD" w14:textId="6D80F9D0" w:rsidR="00716108" w:rsidRPr="001062CF"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47C99AF3" w14:textId="7F4B2200" w:rsidR="00716108"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The</w:t>
      </w:r>
      <w:r w:rsidR="00C93195">
        <w:rPr>
          <w:rFonts w:ascii="Arial" w:hAnsi="Arial" w:cs="Arial"/>
          <w:spacing w:val="-3"/>
          <w:sz w:val="20"/>
        </w:rPr>
        <w:t xml:space="preserve"> WFE collects a number of</w:t>
      </w:r>
      <w:r w:rsidRPr="00490F9F">
        <w:rPr>
          <w:rFonts w:ascii="Arial" w:hAnsi="Arial" w:cs="Arial"/>
          <w:spacing w:val="-3"/>
          <w:sz w:val="20"/>
        </w:rPr>
        <w:t xml:space="preserve"> </w:t>
      </w:r>
      <w:r w:rsidR="00252412">
        <w:rPr>
          <w:rFonts w:ascii="Arial" w:hAnsi="Arial" w:cs="Arial"/>
          <w:spacing w:val="-3"/>
          <w:sz w:val="20"/>
        </w:rPr>
        <w:t xml:space="preserve">indicators showing the value of </w:t>
      </w:r>
      <w:r w:rsidRPr="00490F9F">
        <w:rPr>
          <w:rFonts w:ascii="Arial" w:hAnsi="Arial" w:cs="Arial"/>
          <w:spacing w:val="-3"/>
          <w:sz w:val="20"/>
        </w:rPr>
        <w:t>bond trading</w:t>
      </w:r>
      <w:r w:rsidR="00252412">
        <w:rPr>
          <w:rFonts w:ascii="Arial" w:hAnsi="Arial" w:cs="Arial"/>
          <w:spacing w:val="-3"/>
          <w:sz w:val="20"/>
        </w:rPr>
        <w:t xml:space="preserve">. These indicators are calculated by multiplying </w:t>
      </w:r>
      <w:r w:rsidRPr="00490F9F">
        <w:rPr>
          <w:rFonts w:ascii="Arial" w:hAnsi="Arial" w:cs="Arial"/>
          <w:spacing w:val="-3"/>
          <w:sz w:val="20"/>
        </w:rPr>
        <w:t xml:space="preserve">the total number of bonds traded multiplied by their respective matching prices. </w:t>
      </w:r>
      <w:r w:rsidR="005721D7">
        <w:rPr>
          <w:rFonts w:ascii="Arial" w:hAnsi="Arial" w:cs="Arial"/>
          <w:spacing w:val="-3"/>
          <w:sz w:val="20"/>
        </w:rPr>
        <w:t xml:space="preserve">The indicators include value of bond trading broken out by </w:t>
      </w:r>
      <w:r w:rsidR="00C46098">
        <w:rPr>
          <w:rFonts w:ascii="Arial" w:hAnsi="Arial" w:cs="Arial"/>
          <w:spacing w:val="-3"/>
          <w:sz w:val="20"/>
        </w:rPr>
        <w:t>issuer and by means of execution. Th</w:t>
      </w:r>
      <w:r w:rsidR="00824AD9">
        <w:rPr>
          <w:rFonts w:ascii="Arial" w:hAnsi="Arial" w:cs="Arial"/>
          <w:spacing w:val="-3"/>
          <w:sz w:val="20"/>
        </w:rPr>
        <w:t xml:space="preserve">us </w:t>
      </w:r>
      <w:r w:rsidR="009D246F">
        <w:rPr>
          <w:rFonts w:ascii="Arial" w:hAnsi="Arial" w:cs="Arial"/>
          <w:spacing w:val="-3"/>
          <w:sz w:val="20"/>
        </w:rPr>
        <w:t>t</w:t>
      </w:r>
      <w:r w:rsidRPr="00490F9F">
        <w:rPr>
          <w:rFonts w:ascii="Arial" w:hAnsi="Arial" w:cs="Arial"/>
          <w:spacing w:val="-3"/>
          <w:sz w:val="20"/>
        </w:rPr>
        <w:t xml:space="preserve">he value of bond trading </w:t>
      </w:r>
      <w:r w:rsidR="009177F2">
        <w:rPr>
          <w:rFonts w:ascii="Arial" w:hAnsi="Arial" w:cs="Arial"/>
          <w:spacing w:val="-3"/>
          <w:sz w:val="20"/>
        </w:rPr>
        <w:t xml:space="preserve">is </w:t>
      </w:r>
      <w:r w:rsidR="00F00E3E" w:rsidRPr="00490F9F">
        <w:rPr>
          <w:rFonts w:ascii="Arial" w:hAnsi="Arial" w:cs="Arial"/>
          <w:spacing w:val="-3"/>
          <w:sz w:val="20"/>
        </w:rPr>
        <w:t xml:space="preserve">split </w:t>
      </w:r>
      <w:proofErr w:type="gramStart"/>
      <w:r w:rsidR="00F00E3E" w:rsidRPr="00490F9F">
        <w:rPr>
          <w:rFonts w:ascii="Arial" w:hAnsi="Arial" w:cs="Arial"/>
          <w:spacing w:val="-3"/>
          <w:sz w:val="20"/>
        </w:rPr>
        <w:t xml:space="preserve">into </w:t>
      </w:r>
      <w:r w:rsidR="00FC5993" w:rsidRPr="00490F9F">
        <w:rPr>
          <w:rFonts w:ascii="Arial" w:hAnsi="Arial" w:cs="Arial"/>
          <w:spacing w:val="-3"/>
          <w:sz w:val="20"/>
        </w:rPr>
        <w:t xml:space="preserve"> </w:t>
      </w:r>
      <w:proofErr w:type="gramEnd"/>
      <w:r w:rsidR="00FC5993" w:rsidRPr="00BF5336">
        <w:rPr>
          <w:rFonts w:ascii="Arial" w:hAnsi="Arial" w:cs="Arial"/>
          <w:color w:val="002060"/>
          <w:sz w:val="20"/>
          <w:szCs w:val="20"/>
          <w:u w:val="single"/>
        </w:rPr>
        <w:fldChar w:fldCharType="begin"/>
      </w:r>
      <w:r w:rsidR="00FC5993" w:rsidRPr="00BF5336">
        <w:rPr>
          <w:rFonts w:ascii="Arial" w:hAnsi="Arial" w:cs="Arial"/>
          <w:color w:val="002060"/>
          <w:sz w:val="20"/>
          <w:szCs w:val="20"/>
          <w:u w:val="single"/>
        </w:rPr>
        <w:instrText xml:space="preserve"> REF _Ref13652152 \h </w:instrText>
      </w:r>
      <w:r w:rsidR="00FC5993">
        <w:rPr>
          <w:rFonts w:ascii="Arial" w:hAnsi="Arial" w:cs="Arial"/>
          <w:color w:val="002060"/>
          <w:sz w:val="20"/>
          <w:szCs w:val="20"/>
          <w:u w:val="single"/>
        </w:rPr>
        <w:instrText xml:space="preserve"> \* MERGEFORMAT </w:instrText>
      </w:r>
      <w:r w:rsidR="00FC5993" w:rsidRPr="00BF5336">
        <w:rPr>
          <w:rFonts w:ascii="Arial" w:hAnsi="Arial" w:cs="Arial"/>
          <w:color w:val="002060"/>
          <w:sz w:val="20"/>
          <w:szCs w:val="20"/>
          <w:u w:val="single"/>
        </w:rPr>
      </w:r>
      <w:r w:rsidR="00FC5993"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FC5993" w:rsidRPr="00BF5336">
        <w:rPr>
          <w:rFonts w:ascii="Arial" w:hAnsi="Arial" w:cs="Arial"/>
          <w:color w:val="002060"/>
          <w:sz w:val="20"/>
          <w:szCs w:val="20"/>
          <w:u w:val="single"/>
        </w:rPr>
        <w:fldChar w:fldCharType="end"/>
      </w:r>
      <w:r w:rsidR="00FC5993">
        <w:rPr>
          <w:rFonts w:ascii="Arial" w:hAnsi="Arial" w:cs="Arial"/>
          <w:spacing w:val="-3"/>
          <w:sz w:val="20"/>
        </w:rPr>
        <w:t xml:space="preserve">, the </w:t>
      </w:r>
      <w:r w:rsidR="00FC5993">
        <w:rPr>
          <w:rFonts w:ascii="Arial" w:hAnsi="Arial" w:cs="Arial"/>
          <w:spacing w:val="-3"/>
          <w:sz w:val="20"/>
        </w:rPr>
        <w:fldChar w:fldCharType="begin"/>
      </w:r>
      <w:r w:rsidR="00FC5993">
        <w:rPr>
          <w:rFonts w:ascii="Arial" w:hAnsi="Arial" w:cs="Arial"/>
          <w:spacing w:val="-3"/>
          <w:sz w:val="20"/>
        </w:rPr>
        <w:instrText xml:space="preserve"> REF _Ref11422892 \h  \* MERGEFORMAT </w:instrText>
      </w:r>
      <w:r w:rsidR="00FC5993">
        <w:rPr>
          <w:rFonts w:ascii="Arial" w:hAnsi="Arial" w:cs="Arial"/>
          <w:spacing w:val="-3"/>
          <w:sz w:val="20"/>
        </w:rPr>
      </w:r>
      <w:r w:rsidR="00FC5993">
        <w:rPr>
          <w:rFonts w:ascii="Arial" w:hAnsi="Arial" w:cs="Arial"/>
          <w:spacing w:val="-3"/>
          <w:sz w:val="20"/>
        </w:rPr>
        <w:fldChar w:fldCharType="separate"/>
      </w:r>
      <w:r w:rsidR="0094528E">
        <w:rPr>
          <w:rFonts w:ascii="Arial" w:hAnsi="Arial" w:cs="Arial"/>
          <w:b/>
          <w:bCs/>
          <w:spacing w:val="-3"/>
          <w:sz w:val="20"/>
          <w:lang w:val="en-US"/>
        </w:rPr>
        <w:t>Error! Reference source not found.</w:t>
      </w:r>
      <w:r w:rsidR="00FC5993">
        <w:rPr>
          <w:rFonts w:ascii="Arial" w:hAnsi="Arial" w:cs="Arial"/>
          <w:spacing w:val="-3"/>
          <w:sz w:val="20"/>
        </w:rPr>
        <w:fldChar w:fldCharType="end"/>
      </w:r>
      <w:proofErr w:type="gramStart"/>
      <w:r w:rsidR="00FC5993">
        <w:rPr>
          <w:rFonts w:ascii="Arial" w:hAnsi="Arial" w:cs="Arial"/>
          <w:spacing w:val="-3"/>
          <w:sz w:val="20"/>
        </w:rPr>
        <w:t>and</w:t>
      </w:r>
      <w:proofErr w:type="gramEnd"/>
      <w:r w:rsidR="00FC5993">
        <w:rPr>
          <w:rFonts w:ascii="Arial" w:hAnsi="Arial" w:cs="Arial"/>
          <w:spacing w:val="-3"/>
          <w:sz w:val="20"/>
        </w:rPr>
        <w:t xml:space="preserve"> for </w:t>
      </w:r>
      <w:r w:rsidR="00FC5993" w:rsidRPr="00BF5336">
        <w:rPr>
          <w:rFonts w:ascii="Arial" w:hAnsi="Arial" w:cs="Arial"/>
          <w:color w:val="002060"/>
          <w:sz w:val="20"/>
          <w:szCs w:val="20"/>
          <w:u w:val="single"/>
        </w:rPr>
        <w:fldChar w:fldCharType="begin"/>
      </w:r>
      <w:r w:rsidR="00FC5993" w:rsidRPr="00BF5336">
        <w:rPr>
          <w:rFonts w:ascii="Arial" w:hAnsi="Arial" w:cs="Arial"/>
          <w:color w:val="002060"/>
          <w:sz w:val="20"/>
          <w:szCs w:val="20"/>
          <w:u w:val="single"/>
        </w:rPr>
        <w:instrText xml:space="preserve"> REF _Ref13652174 \h </w:instrText>
      </w:r>
      <w:r w:rsidR="00FC5993">
        <w:rPr>
          <w:rFonts w:ascii="Arial" w:hAnsi="Arial" w:cs="Arial"/>
          <w:color w:val="002060"/>
          <w:sz w:val="20"/>
          <w:szCs w:val="20"/>
          <w:u w:val="single"/>
        </w:rPr>
        <w:instrText xml:space="preserve"> \* MERGEFORMAT </w:instrText>
      </w:r>
      <w:r w:rsidR="00FC5993" w:rsidRPr="00BF5336">
        <w:rPr>
          <w:rFonts w:ascii="Arial" w:hAnsi="Arial" w:cs="Arial"/>
          <w:color w:val="002060"/>
          <w:sz w:val="20"/>
          <w:szCs w:val="20"/>
          <w:u w:val="single"/>
        </w:rPr>
      </w:r>
      <w:r w:rsidR="00FC5993"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FC5993" w:rsidRPr="00BF5336">
        <w:rPr>
          <w:rFonts w:ascii="Arial" w:hAnsi="Arial" w:cs="Arial"/>
          <w:color w:val="002060"/>
          <w:sz w:val="20"/>
          <w:szCs w:val="20"/>
          <w:u w:val="single"/>
        </w:rPr>
        <w:fldChar w:fldCharType="end"/>
      </w:r>
      <w:r w:rsidR="009177F2">
        <w:rPr>
          <w:rFonts w:ascii="Arial" w:hAnsi="Arial" w:cs="Arial"/>
          <w:spacing w:val="-3"/>
          <w:sz w:val="20"/>
        </w:rPr>
        <w:t xml:space="preserve"> </w:t>
      </w:r>
      <w:r w:rsidR="00F00E3E" w:rsidRPr="00490F9F">
        <w:rPr>
          <w:rFonts w:ascii="Arial" w:hAnsi="Arial" w:cs="Arial"/>
          <w:spacing w:val="-3"/>
          <w:sz w:val="20"/>
        </w:rPr>
        <w:t>.</w:t>
      </w:r>
      <w:r w:rsidRPr="00490F9F">
        <w:rPr>
          <w:rFonts w:ascii="Arial" w:hAnsi="Arial" w:cs="Arial"/>
          <w:spacing w:val="-3"/>
          <w:sz w:val="20"/>
        </w:rPr>
        <w:t xml:space="preserve">The value of bond trading is broken down into </w:t>
      </w:r>
      <w:r w:rsidR="0037183B" w:rsidRPr="0037183B">
        <w:rPr>
          <w:rFonts w:ascii="Arial" w:hAnsi="Arial" w:cs="Arial"/>
          <w:color w:val="1F3864" w:themeColor="accent1" w:themeShade="80"/>
          <w:sz w:val="20"/>
          <w:szCs w:val="20"/>
          <w:u w:val="single"/>
        </w:rPr>
        <w:fldChar w:fldCharType="begin"/>
      </w:r>
      <w:r w:rsidR="0037183B" w:rsidRPr="0037183B">
        <w:rPr>
          <w:rFonts w:ascii="Arial" w:hAnsi="Arial" w:cs="Arial"/>
          <w:color w:val="1F3864" w:themeColor="accent1" w:themeShade="80"/>
          <w:sz w:val="20"/>
          <w:szCs w:val="20"/>
          <w:u w:val="single"/>
        </w:rPr>
        <w:instrText xml:space="preserve"> REF _Ref13572577 \h </w:instrText>
      </w:r>
      <w:r w:rsidR="0037183B">
        <w:rPr>
          <w:rFonts w:ascii="Arial" w:hAnsi="Arial" w:cs="Arial"/>
          <w:color w:val="1F3864" w:themeColor="accent1" w:themeShade="80"/>
          <w:sz w:val="20"/>
          <w:szCs w:val="20"/>
          <w:u w:val="single"/>
        </w:rPr>
        <w:instrText xml:space="preserve"> \* MERGEFORMAT </w:instrText>
      </w:r>
      <w:r w:rsidR="0037183B" w:rsidRPr="0037183B">
        <w:rPr>
          <w:rFonts w:ascii="Arial" w:hAnsi="Arial" w:cs="Arial"/>
          <w:color w:val="1F3864" w:themeColor="accent1" w:themeShade="80"/>
          <w:sz w:val="20"/>
          <w:szCs w:val="20"/>
          <w:u w:val="single"/>
        </w:rPr>
      </w:r>
      <w:r w:rsidR="0037183B"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0037183B" w:rsidRPr="0037183B">
        <w:rPr>
          <w:rFonts w:ascii="Arial" w:hAnsi="Arial" w:cs="Arial"/>
          <w:color w:val="1F3864" w:themeColor="accent1" w:themeShade="80"/>
          <w:sz w:val="20"/>
          <w:szCs w:val="20"/>
          <w:u w:val="single"/>
        </w:rPr>
        <w:fldChar w:fldCharType="end"/>
      </w:r>
      <w:r w:rsidR="00F00E3E">
        <w:rPr>
          <w:rFonts w:ascii="Arial" w:hAnsi="Arial" w:cs="Arial"/>
          <w:spacing w:val="-3"/>
          <w:sz w:val="20"/>
        </w:rPr>
        <w:t xml:space="preserve"> trades </w:t>
      </w:r>
      <w:r w:rsidRPr="0037183B">
        <w:rPr>
          <w:rFonts w:ascii="Arial" w:hAnsi="Arial" w:cs="Arial"/>
          <w:spacing w:val="-3"/>
          <w:sz w:val="20"/>
        </w:rPr>
        <w:t xml:space="preserve">and </w:t>
      </w:r>
      <w:r w:rsidR="0037183B" w:rsidRPr="0037183B">
        <w:rPr>
          <w:rFonts w:ascii="Arial" w:eastAsia="Times New Roman" w:hAnsi="Arial" w:cs="Arial"/>
          <w:snapToGrid w:val="0"/>
          <w:color w:val="002060"/>
          <w:sz w:val="20"/>
          <w:szCs w:val="18"/>
          <w:u w:val="single"/>
          <w:lang w:eastAsia="fr-FR"/>
        </w:rPr>
        <w:fldChar w:fldCharType="begin"/>
      </w:r>
      <w:r w:rsidR="0037183B" w:rsidRPr="00A55E94">
        <w:rPr>
          <w:rFonts w:ascii="Arial" w:eastAsia="Times New Roman" w:hAnsi="Arial" w:cs="Arial"/>
          <w:snapToGrid w:val="0"/>
          <w:color w:val="002060"/>
          <w:sz w:val="20"/>
          <w:szCs w:val="18"/>
          <w:u w:val="single"/>
          <w:lang w:eastAsia="fr-FR"/>
        </w:rPr>
        <w:instrText xml:space="preserve"> REF _Ref13572784 \h  \* MERGEFORMAT </w:instrText>
      </w:r>
      <w:r w:rsidR="0037183B" w:rsidRPr="0037183B">
        <w:rPr>
          <w:rFonts w:ascii="Arial" w:eastAsia="Times New Roman" w:hAnsi="Arial" w:cs="Arial"/>
          <w:snapToGrid w:val="0"/>
          <w:color w:val="002060"/>
          <w:sz w:val="20"/>
          <w:szCs w:val="18"/>
          <w:u w:val="single"/>
          <w:lang w:eastAsia="fr-FR"/>
        </w:rPr>
      </w:r>
      <w:r w:rsidR="0037183B" w:rsidRPr="0037183B">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Negotiated</w:t>
      </w:r>
      <w:r w:rsidR="0094528E" w:rsidRPr="0094528E">
        <w:rPr>
          <w:rFonts w:eastAsia="Times New Roman"/>
          <w:snapToGrid w:val="0"/>
          <w:color w:val="002060"/>
          <w:szCs w:val="20"/>
          <w:u w:val="single"/>
          <w:lang w:eastAsia="fr-FR"/>
        </w:rPr>
        <w:t xml:space="preserve"> Deals</w:t>
      </w:r>
      <w:r w:rsidR="0037183B" w:rsidRPr="0037183B">
        <w:rPr>
          <w:rFonts w:eastAsia="Times New Roman"/>
          <w:snapToGrid w:val="0"/>
          <w:color w:val="002060"/>
          <w:szCs w:val="20"/>
          <w:u w:val="single"/>
          <w:lang w:eastAsia="fr-FR"/>
        </w:rPr>
        <w:fldChar w:fldCharType="end"/>
      </w:r>
      <w:r w:rsidR="00F00E3E" w:rsidRPr="00490F9F">
        <w:rPr>
          <w:rFonts w:ascii="Arial" w:hAnsi="Arial" w:cs="Arial"/>
          <w:spacing w:val="-3"/>
          <w:sz w:val="20"/>
        </w:rPr>
        <w:t>.</w:t>
      </w:r>
      <w:r w:rsidRPr="00490F9F">
        <w:rPr>
          <w:rFonts w:ascii="Arial" w:hAnsi="Arial" w:cs="Arial"/>
          <w:spacing w:val="-3"/>
          <w:sz w:val="20"/>
        </w:rPr>
        <w:t xml:space="preserve"> Figures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i.e., include</w:t>
      </w:r>
      <w:r w:rsidR="00122786" w:rsidRPr="00490F9F">
        <w:rPr>
          <w:rFonts w:ascii="Arial" w:hAnsi="Arial" w:cs="Arial"/>
          <w:spacing w:val="-3"/>
          <w:sz w:val="20"/>
        </w:rPr>
        <w:t xml:space="preserve"> one side of the transaction only</w:t>
      </w:r>
      <w:r w:rsidR="00122786">
        <w:rPr>
          <w:rFonts w:ascii="Arial" w:hAnsi="Arial" w:cs="Arial"/>
          <w:spacing w:val="-3"/>
          <w:sz w:val="20"/>
        </w:rPr>
        <w:t>)</w:t>
      </w:r>
      <w:r w:rsidRPr="00490F9F">
        <w:rPr>
          <w:rFonts w:ascii="Arial" w:hAnsi="Arial" w:cs="Arial"/>
          <w:spacing w:val="-3"/>
          <w:sz w:val="20"/>
        </w:rPr>
        <w:t>.</w:t>
      </w:r>
    </w:p>
    <w:p w14:paraId="2029BA16"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583D4A6" w14:textId="07FC8D70" w:rsidR="00716108" w:rsidRPr="00490F9F"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Example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992"/>
        <w:gridCol w:w="1134"/>
        <w:gridCol w:w="1926"/>
        <w:gridCol w:w="785"/>
        <w:gridCol w:w="785"/>
        <w:gridCol w:w="1446"/>
        <w:gridCol w:w="1417"/>
      </w:tblGrid>
      <w:tr w:rsidR="00716108" w:rsidRPr="00490F9F" w14:paraId="456B94AE" w14:textId="77777777" w:rsidTr="00F505A1">
        <w:trPr>
          <w:cantSplit/>
          <w:trHeight w:val="20"/>
        </w:trPr>
        <w:tc>
          <w:tcPr>
            <w:tcW w:w="724" w:type="dxa"/>
            <w:vMerge w:val="restart"/>
            <w:shd w:val="clear" w:color="auto" w:fill="00709E"/>
            <w:noWrap/>
            <w:tcMar>
              <w:top w:w="15" w:type="dxa"/>
              <w:left w:w="15" w:type="dxa"/>
              <w:bottom w:w="0" w:type="dxa"/>
              <w:right w:w="15" w:type="dxa"/>
            </w:tcMar>
            <w:vAlign w:val="center"/>
          </w:tcPr>
          <w:p w14:paraId="459F00A8" w14:textId="77777777" w:rsidR="00716108" w:rsidRPr="00490F9F" w:rsidRDefault="00716108"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Trade</w:t>
            </w:r>
          </w:p>
        </w:tc>
        <w:tc>
          <w:tcPr>
            <w:tcW w:w="992" w:type="dxa"/>
            <w:vMerge w:val="restart"/>
            <w:shd w:val="clear" w:color="auto" w:fill="00709E"/>
            <w:noWrap/>
            <w:tcMar>
              <w:top w:w="15" w:type="dxa"/>
              <w:left w:w="15" w:type="dxa"/>
              <w:bottom w:w="0" w:type="dxa"/>
              <w:right w:w="15" w:type="dxa"/>
            </w:tcMar>
            <w:vAlign w:val="center"/>
          </w:tcPr>
          <w:p w14:paraId="7FE904D8"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Buyer</w:t>
            </w:r>
          </w:p>
        </w:tc>
        <w:tc>
          <w:tcPr>
            <w:tcW w:w="1134" w:type="dxa"/>
            <w:vMerge w:val="restart"/>
            <w:shd w:val="clear" w:color="auto" w:fill="00709E"/>
            <w:noWrap/>
            <w:tcMar>
              <w:top w:w="15" w:type="dxa"/>
              <w:left w:w="15" w:type="dxa"/>
              <w:bottom w:w="0" w:type="dxa"/>
              <w:right w:w="15" w:type="dxa"/>
            </w:tcMar>
            <w:vAlign w:val="center"/>
          </w:tcPr>
          <w:p w14:paraId="296BCE2D"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Seller</w:t>
            </w:r>
          </w:p>
        </w:tc>
        <w:tc>
          <w:tcPr>
            <w:tcW w:w="1926" w:type="dxa"/>
            <w:vMerge w:val="restart"/>
            <w:shd w:val="clear" w:color="auto" w:fill="00709E"/>
            <w:noWrap/>
            <w:tcMar>
              <w:top w:w="15" w:type="dxa"/>
              <w:left w:w="15" w:type="dxa"/>
              <w:bottom w:w="0" w:type="dxa"/>
              <w:right w:w="15" w:type="dxa"/>
            </w:tcMar>
            <w:vAlign w:val="center"/>
          </w:tcPr>
          <w:p w14:paraId="27D169FE"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Platform</w:t>
            </w:r>
          </w:p>
        </w:tc>
        <w:tc>
          <w:tcPr>
            <w:tcW w:w="785" w:type="dxa"/>
            <w:vMerge w:val="restart"/>
            <w:shd w:val="clear" w:color="auto" w:fill="00709E"/>
            <w:noWrap/>
            <w:tcMar>
              <w:top w:w="15" w:type="dxa"/>
              <w:left w:w="15" w:type="dxa"/>
              <w:bottom w:w="0" w:type="dxa"/>
              <w:right w:w="15" w:type="dxa"/>
            </w:tcMar>
            <w:vAlign w:val="center"/>
          </w:tcPr>
          <w:p w14:paraId="27DC005A"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Bonds</w:t>
            </w:r>
          </w:p>
        </w:tc>
        <w:tc>
          <w:tcPr>
            <w:tcW w:w="785" w:type="dxa"/>
            <w:vMerge w:val="restart"/>
            <w:shd w:val="clear" w:color="auto" w:fill="00709E"/>
            <w:noWrap/>
            <w:tcMar>
              <w:top w:w="15" w:type="dxa"/>
              <w:left w:w="15" w:type="dxa"/>
              <w:bottom w:w="0" w:type="dxa"/>
              <w:right w:w="15" w:type="dxa"/>
            </w:tcMar>
            <w:vAlign w:val="center"/>
          </w:tcPr>
          <w:p w14:paraId="3E0656AF"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446" w:type="dxa"/>
            <w:tcBorders>
              <w:bottom w:val="nil"/>
            </w:tcBorders>
            <w:shd w:val="clear" w:color="auto" w:fill="00709E"/>
            <w:noWrap/>
            <w:tcMar>
              <w:top w:w="15" w:type="dxa"/>
              <w:left w:w="15" w:type="dxa"/>
              <w:bottom w:w="0" w:type="dxa"/>
              <w:right w:w="15" w:type="dxa"/>
            </w:tcMar>
            <w:vAlign w:val="center"/>
          </w:tcPr>
          <w:p w14:paraId="14385730"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Electronic order book</w:t>
            </w:r>
          </w:p>
        </w:tc>
        <w:tc>
          <w:tcPr>
            <w:tcW w:w="1417" w:type="dxa"/>
            <w:tcBorders>
              <w:bottom w:val="nil"/>
            </w:tcBorders>
            <w:shd w:val="clear" w:color="auto" w:fill="00709E"/>
            <w:noWrap/>
            <w:tcMar>
              <w:top w:w="15" w:type="dxa"/>
              <w:left w:w="15" w:type="dxa"/>
              <w:bottom w:w="0" w:type="dxa"/>
              <w:right w:w="15" w:type="dxa"/>
            </w:tcMar>
            <w:vAlign w:val="center"/>
          </w:tcPr>
          <w:p w14:paraId="50757739" w14:textId="7A045329" w:rsidR="00716108" w:rsidRPr="00490F9F" w:rsidRDefault="00F505A1"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Negotiated deals</w:t>
            </w:r>
          </w:p>
        </w:tc>
      </w:tr>
      <w:tr w:rsidR="00716108" w:rsidRPr="00490F9F" w14:paraId="682D39D6" w14:textId="77777777" w:rsidTr="00F505A1">
        <w:trPr>
          <w:cantSplit/>
          <w:trHeight w:val="20"/>
        </w:trPr>
        <w:tc>
          <w:tcPr>
            <w:tcW w:w="724" w:type="dxa"/>
            <w:vMerge/>
            <w:shd w:val="clear" w:color="auto" w:fill="00709E"/>
            <w:noWrap/>
            <w:tcMar>
              <w:top w:w="15" w:type="dxa"/>
              <w:left w:w="15" w:type="dxa"/>
              <w:bottom w:w="0" w:type="dxa"/>
              <w:right w:w="15" w:type="dxa"/>
            </w:tcMar>
            <w:vAlign w:val="bottom"/>
          </w:tcPr>
          <w:p w14:paraId="4B33C248" w14:textId="77777777" w:rsidR="00716108" w:rsidRPr="00490F9F" w:rsidRDefault="00716108" w:rsidP="00AC7754">
            <w:pPr>
              <w:spacing w:after="0" w:line="240" w:lineRule="auto"/>
              <w:rPr>
                <w:rFonts w:ascii="Arial" w:hAnsi="Arial" w:cs="Arial"/>
                <w:b/>
                <w:bCs/>
                <w:color w:val="FFFFFF"/>
                <w:sz w:val="16"/>
                <w:szCs w:val="16"/>
              </w:rPr>
            </w:pPr>
          </w:p>
        </w:tc>
        <w:tc>
          <w:tcPr>
            <w:tcW w:w="992" w:type="dxa"/>
            <w:vMerge/>
            <w:shd w:val="clear" w:color="auto" w:fill="00709E"/>
            <w:noWrap/>
            <w:tcMar>
              <w:top w:w="15" w:type="dxa"/>
              <w:left w:w="15" w:type="dxa"/>
              <w:bottom w:w="0" w:type="dxa"/>
              <w:right w:w="15" w:type="dxa"/>
            </w:tcMar>
            <w:vAlign w:val="bottom"/>
          </w:tcPr>
          <w:p w14:paraId="1BB133A7" w14:textId="77777777" w:rsidR="00716108" w:rsidRPr="00490F9F" w:rsidRDefault="00716108" w:rsidP="00AC7754">
            <w:pPr>
              <w:spacing w:after="0" w:line="240" w:lineRule="auto"/>
              <w:rPr>
                <w:rFonts w:ascii="Arial" w:hAnsi="Arial" w:cs="Arial"/>
                <w:b/>
                <w:bCs/>
                <w:color w:val="FFFFFF"/>
                <w:sz w:val="16"/>
                <w:szCs w:val="16"/>
              </w:rPr>
            </w:pPr>
          </w:p>
        </w:tc>
        <w:tc>
          <w:tcPr>
            <w:tcW w:w="1134" w:type="dxa"/>
            <w:vMerge/>
            <w:shd w:val="clear" w:color="auto" w:fill="00709E"/>
            <w:noWrap/>
            <w:tcMar>
              <w:top w:w="15" w:type="dxa"/>
              <w:left w:w="15" w:type="dxa"/>
              <w:bottom w:w="0" w:type="dxa"/>
              <w:right w:w="15" w:type="dxa"/>
            </w:tcMar>
            <w:vAlign w:val="bottom"/>
          </w:tcPr>
          <w:p w14:paraId="78174BEE" w14:textId="77777777" w:rsidR="00716108" w:rsidRPr="00490F9F" w:rsidRDefault="00716108" w:rsidP="00AC7754">
            <w:pPr>
              <w:spacing w:after="0" w:line="240" w:lineRule="auto"/>
              <w:rPr>
                <w:rFonts w:ascii="Arial" w:hAnsi="Arial" w:cs="Arial"/>
                <w:b/>
                <w:bCs/>
                <w:color w:val="FFFFFF"/>
                <w:sz w:val="16"/>
                <w:szCs w:val="16"/>
              </w:rPr>
            </w:pPr>
          </w:p>
        </w:tc>
        <w:tc>
          <w:tcPr>
            <w:tcW w:w="1926" w:type="dxa"/>
            <w:vMerge/>
            <w:shd w:val="clear" w:color="auto" w:fill="00709E"/>
            <w:noWrap/>
            <w:tcMar>
              <w:top w:w="15" w:type="dxa"/>
              <w:left w:w="15" w:type="dxa"/>
              <w:bottom w:w="0" w:type="dxa"/>
              <w:right w:w="15" w:type="dxa"/>
            </w:tcMar>
            <w:vAlign w:val="bottom"/>
          </w:tcPr>
          <w:p w14:paraId="30C8E77E" w14:textId="77777777" w:rsidR="00716108" w:rsidRPr="00490F9F" w:rsidRDefault="00716108" w:rsidP="00AC7754">
            <w:pPr>
              <w:spacing w:after="0" w:line="240" w:lineRule="auto"/>
              <w:rPr>
                <w:rFonts w:ascii="Arial" w:hAnsi="Arial" w:cs="Arial"/>
                <w:b/>
                <w:bCs/>
                <w:color w:val="FFFFFF"/>
                <w:sz w:val="16"/>
                <w:szCs w:val="16"/>
              </w:rPr>
            </w:pPr>
          </w:p>
        </w:tc>
        <w:tc>
          <w:tcPr>
            <w:tcW w:w="785" w:type="dxa"/>
            <w:vMerge/>
            <w:shd w:val="clear" w:color="auto" w:fill="00709E"/>
            <w:noWrap/>
            <w:tcMar>
              <w:top w:w="15" w:type="dxa"/>
              <w:left w:w="15" w:type="dxa"/>
              <w:bottom w:w="0" w:type="dxa"/>
              <w:right w:w="15" w:type="dxa"/>
            </w:tcMar>
            <w:vAlign w:val="bottom"/>
          </w:tcPr>
          <w:p w14:paraId="26659455" w14:textId="77777777" w:rsidR="00716108" w:rsidRPr="00490F9F" w:rsidRDefault="00716108" w:rsidP="00AC7754">
            <w:pPr>
              <w:spacing w:after="0" w:line="240" w:lineRule="auto"/>
              <w:jc w:val="center"/>
              <w:rPr>
                <w:rFonts w:ascii="Arial" w:hAnsi="Arial" w:cs="Arial"/>
                <w:b/>
                <w:bCs/>
                <w:color w:val="FFFFFF"/>
                <w:sz w:val="16"/>
                <w:szCs w:val="16"/>
              </w:rPr>
            </w:pPr>
          </w:p>
        </w:tc>
        <w:tc>
          <w:tcPr>
            <w:tcW w:w="785" w:type="dxa"/>
            <w:vMerge/>
            <w:shd w:val="clear" w:color="auto" w:fill="00709E"/>
            <w:noWrap/>
            <w:tcMar>
              <w:top w:w="15" w:type="dxa"/>
              <w:left w:w="15" w:type="dxa"/>
              <w:bottom w:w="0" w:type="dxa"/>
              <w:right w:w="15" w:type="dxa"/>
            </w:tcMar>
            <w:vAlign w:val="bottom"/>
          </w:tcPr>
          <w:p w14:paraId="21F84644" w14:textId="77777777" w:rsidR="00716108" w:rsidRPr="00490F9F" w:rsidRDefault="00716108" w:rsidP="00AC7754">
            <w:pPr>
              <w:spacing w:after="0" w:line="240" w:lineRule="auto"/>
              <w:jc w:val="center"/>
              <w:rPr>
                <w:rFonts w:ascii="Arial" w:hAnsi="Arial" w:cs="Arial"/>
                <w:b/>
                <w:bCs/>
                <w:color w:val="FFFFFF"/>
                <w:sz w:val="16"/>
                <w:szCs w:val="16"/>
              </w:rPr>
            </w:pPr>
          </w:p>
        </w:tc>
        <w:tc>
          <w:tcPr>
            <w:tcW w:w="1446" w:type="dxa"/>
            <w:tcBorders>
              <w:top w:val="nil"/>
            </w:tcBorders>
            <w:shd w:val="clear" w:color="auto" w:fill="00709E"/>
            <w:noWrap/>
            <w:tcMar>
              <w:top w:w="15" w:type="dxa"/>
              <w:left w:w="15" w:type="dxa"/>
              <w:bottom w:w="0" w:type="dxa"/>
              <w:right w:w="15" w:type="dxa"/>
            </w:tcMar>
            <w:vAlign w:val="bottom"/>
          </w:tcPr>
          <w:p w14:paraId="4CAC59D2" w14:textId="77777777" w:rsidR="00716108" w:rsidRPr="00490F9F" w:rsidRDefault="00716108" w:rsidP="00AC7754">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c>
          <w:tcPr>
            <w:tcW w:w="1417" w:type="dxa"/>
            <w:tcBorders>
              <w:top w:val="nil"/>
            </w:tcBorders>
            <w:shd w:val="clear" w:color="auto" w:fill="00709E"/>
            <w:noWrap/>
            <w:tcMar>
              <w:top w:w="15" w:type="dxa"/>
              <w:left w:w="15" w:type="dxa"/>
              <w:bottom w:w="0" w:type="dxa"/>
              <w:right w:w="15" w:type="dxa"/>
            </w:tcMar>
            <w:vAlign w:val="bottom"/>
          </w:tcPr>
          <w:p w14:paraId="0AFEB332" w14:textId="77777777" w:rsidR="00716108" w:rsidRPr="00490F9F" w:rsidRDefault="00716108" w:rsidP="00AC7754">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r>
      <w:tr w:rsidR="00716108" w:rsidRPr="00490F9F" w14:paraId="119D245D"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2A10BB2F"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A</w:t>
            </w:r>
          </w:p>
        </w:tc>
        <w:tc>
          <w:tcPr>
            <w:tcW w:w="992" w:type="dxa"/>
            <w:noWrap/>
            <w:tcMar>
              <w:top w:w="15" w:type="dxa"/>
              <w:left w:w="15" w:type="dxa"/>
              <w:bottom w:w="0" w:type="dxa"/>
              <w:right w:w="15" w:type="dxa"/>
            </w:tcMar>
            <w:vAlign w:val="center"/>
          </w:tcPr>
          <w:p w14:paraId="5EE9B7E3"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134" w:type="dxa"/>
            <w:noWrap/>
            <w:tcMar>
              <w:top w:w="15" w:type="dxa"/>
              <w:left w:w="15" w:type="dxa"/>
              <w:bottom w:w="0" w:type="dxa"/>
              <w:right w:w="15" w:type="dxa"/>
            </w:tcMar>
            <w:vAlign w:val="center"/>
          </w:tcPr>
          <w:p w14:paraId="47407A0C"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926" w:type="dxa"/>
            <w:noWrap/>
            <w:tcMar>
              <w:top w:w="15" w:type="dxa"/>
              <w:left w:w="15" w:type="dxa"/>
              <w:bottom w:w="0" w:type="dxa"/>
              <w:right w:w="15" w:type="dxa"/>
            </w:tcMar>
            <w:vAlign w:val="center"/>
          </w:tcPr>
          <w:p w14:paraId="0F96FE7F" w14:textId="6975795A" w:rsidR="00716108" w:rsidRPr="00490F9F" w:rsidRDefault="007D7CF5" w:rsidP="00E91CD3">
            <w:pPr>
              <w:spacing w:after="0" w:line="240" w:lineRule="auto"/>
              <w:jc w:val="center"/>
              <w:rPr>
                <w:rFonts w:ascii="Arial" w:hAnsi="Arial" w:cs="Arial"/>
                <w:sz w:val="16"/>
                <w:szCs w:val="16"/>
              </w:rPr>
            </w:pPr>
            <w:r>
              <w:rPr>
                <w:rFonts w:ascii="Arial" w:hAnsi="Arial" w:cs="Arial"/>
                <w:sz w:val="16"/>
                <w:szCs w:val="16"/>
              </w:rPr>
              <w:t xml:space="preserve">Electronic </w:t>
            </w:r>
            <w:r w:rsidR="00716108" w:rsidRPr="00490F9F">
              <w:rPr>
                <w:rFonts w:ascii="Arial" w:hAnsi="Arial" w:cs="Arial"/>
                <w:sz w:val="16"/>
                <w:szCs w:val="16"/>
              </w:rPr>
              <w:t>Order Book</w:t>
            </w:r>
          </w:p>
        </w:tc>
        <w:tc>
          <w:tcPr>
            <w:tcW w:w="785" w:type="dxa"/>
            <w:noWrap/>
            <w:tcMar>
              <w:top w:w="15" w:type="dxa"/>
              <w:left w:w="15" w:type="dxa"/>
              <w:bottom w:w="0" w:type="dxa"/>
              <w:right w:w="15" w:type="dxa"/>
            </w:tcMar>
            <w:vAlign w:val="center"/>
          </w:tcPr>
          <w:p w14:paraId="2EAE035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785" w:type="dxa"/>
            <w:noWrap/>
            <w:tcMar>
              <w:top w:w="15" w:type="dxa"/>
              <w:left w:w="15" w:type="dxa"/>
              <w:bottom w:w="0" w:type="dxa"/>
              <w:right w:w="15" w:type="dxa"/>
            </w:tcMar>
            <w:vAlign w:val="center"/>
          </w:tcPr>
          <w:p w14:paraId="64C2D2B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46" w:type="dxa"/>
            <w:noWrap/>
            <w:tcMar>
              <w:top w:w="15" w:type="dxa"/>
              <w:left w:w="15" w:type="dxa"/>
              <w:bottom w:w="0" w:type="dxa"/>
              <w:right w:w="15" w:type="dxa"/>
            </w:tcMar>
            <w:vAlign w:val="center"/>
          </w:tcPr>
          <w:p w14:paraId="211B3DA1"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417" w:type="dxa"/>
            <w:noWrap/>
            <w:tcMar>
              <w:top w:w="15" w:type="dxa"/>
              <w:left w:w="15" w:type="dxa"/>
              <w:bottom w:w="0" w:type="dxa"/>
              <w:right w:w="15" w:type="dxa"/>
            </w:tcMar>
            <w:vAlign w:val="center"/>
          </w:tcPr>
          <w:p w14:paraId="2D182055" w14:textId="77777777" w:rsidR="00716108" w:rsidRPr="00490F9F" w:rsidRDefault="00716108" w:rsidP="00E91CD3">
            <w:pPr>
              <w:spacing w:after="0" w:line="240" w:lineRule="auto"/>
              <w:jc w:val="center"/>
              <w:rPr>
                <w:rFonts w:ascii="Arial" w:hAnsi="Arial" w:cs="Arial"/>
                <w:sz w:val="16"/>
                <w:szCs w:val="16"/>
              </w:rPr>
            </w:pPr>
          </w:p>
        </w:tc>
      </w:tr>
      <w:tr w:rsidR="00716108" w:rsidRPr="00490F9F" w14:paraId="2AEC9C0C"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5488C233"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B</w:t>
            </w:r>
          </w:p>
        </w:tc>
        <w:tc>
          <w:tcPr>
            <w:tcW w:w="992" w:type="dxa"/>
            <w:noWrap/>
            <w:tcMar>
              <w:top w:w="15" w:type="dxa"/>
              <w:left w:w="15" w:type="dxa"/>
              <w:bottom w:w="0" w:type="dxa"/>
              <w:right w:w="15" w:type="dxa"/>
            </w:tcMar>
            <w:vAlign w:val="center"/>
          </w:tcPr>
          <w:p w14:paraId="1D8F0422"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134" w:type="dxa"/>
            <w:noWrap/>
            <w:tcMar>
              <w:top w:w="15" w:type="dxa"/>
              <w:left w:w="15" w:type="dxa"/>
              <w:bottom w:w="0" w:type="dxa"/>
              <w:right w:w="15" w:type="dxa"/>
            </w:tcMar>
            <w:vAlign w:val="center"/>
          </w:tcPr>
          <w:p w14:paraId="129E4B85"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926" w:type="dxa"/>
            <w:noWrap/>
            <w:tcMar>
              <w:top w:w="15" w:type="dxa"/>
              <w:left w:w="15" w:type="dxa"/>
              <w:bottom w:w="0" w:type="dxa"/>
              <w:right w:w="15" w:type="dxa"/>
            </w:tcMar>
            <w:vAlign w:val="center"/>
          </w:tcPr>
          <w:p w14:paraId="5DC3E583" w14:textId="576DAF12" w:rsidR="00716108" w:rsidRPr="00490F9F" w:rsidRDefault="007D7CF5"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3F48B545"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20</w:t>
            </w:r>
          </w:p>
        </w:tc>
        <w:tc>
          <w:tcPr>
            <w:tcW w:w="785" w:type="dxa"/>
            <w:noWrap/>
            <w:tcMar>
              <w:top w:w="15" w:type="dxa"/>
              <w:left w:w="15" w:type="dxa"/>
              <w:bottom w:w="0" w:type="dxa"/>
              <w:right w:w="15" w:type="dxa"/>
            </w:tcMar>
            <w:vAlign w:val="center"/>
          </w:tcPr>
          <w:p w14:paraId="635EFA5F"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46" w:type="dxa"/>
            <w:noWrap/>
            <w:tcMar>
              <w:top w:w="15" w:type="dxa"/>
              <w:left w:w="15" w:type="dxa"/>
              <w:bottom w:w="0" w:type="dxa"/>
              <w:right w:w="15" w:type="dxa"/>
            </w:tcMar>
            <w:vAlign w:val="center"/>
          </w:tcPr>
          <w:p w14:paraId="4DB7F457"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252581AD"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40</w:t>
            </w:r>
          </w:p>
        </w:tc>
      </w:tr>
      <w:tr w:rsidR="00716108" w:rsidRPr="00490F9F" w14:paraId="461DB303"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522B35CD"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C</w:t>
            </w:r>
          </w:p>
        </w:tc>
        <w:tc>
          <w:tcPr>
            <w:tcW w:w="992" w:type="dxa"/>
            <w:noWrap/>
            <w:tcMar>
              <w:top w:w="15" w:type="dxa"/>
              <w:left w:w="15" w:type="dxa"/>
              <w:bottom w:w="0" w:type="dxa"/>
              <w:right w:w="15" w:type="dxa"/>
            </w:tcMar>
            <w:vAlign w:val="center"/>
          </w:tcPr>
          <w:p w14:paraId="5EBBD13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134" w:type="dxa"/>
            <w:noWrap/>
            <w:tcMar>
              <w:top w:w="15" w:type="dxa"/>
              <w:left w:w="15" w:type="dxa"/>
              <w:bottom w:w="0" w:type="dxa"/>
              <w:right w:w="15" w:type="dxa"/>
            </w:tcMar>
            <w:vAlign w:val="center"/>
          </w:tcPr>
          <w:p w14:paraId="6655F95A"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926" w:type="dxa"/>
            <w:noWrap/>
            <w:tcMar>
              <w:top w:w="15" w:type="dxa"/>
              <w:left w:w="15" w:type="dxa"/>
              <w:bottom w:w="0" w:type="dxa"/>
              <w:right w:w="15" w:type="dxa"/>
            </w:tcMar>
            <w:vAlign w:val="center"/>
          </w:tcPr>
          <w:p w14:paraId="0B4BF1C0" w14:textId="55A3287C"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7B86167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30</w:t>
            </w:r>
          </w:p>
        </w:tc>
        <w:tc>
          <w:tcPr>
            <w:tcW w:w="785" w:type="dxa"/>
            <w:noWrap/>
            <w:tcMar>
              <w:top w:w="15" w:type="dxa"/>
              <w:left w:w="15" w:type="dxa"/>
              <w:bottom w:w="0" w:type="dxa"/>
              <w:right w:w="15" w:type="dxa"/>
            </w:tcMar>
            <w:vAlign w:val="center"/>
          </w:tcPr>
          <w:p w14:paraId="621974AD"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46" w:type="dxa"/>
            <w:noWrap/>
            <w:tcMar>
              <w:top w:w="15" w:type="dxa"/>
              <w:left w:w="15" w:type="dxa"/>
              <w:bottom w:w="0" w:type="dxa"/>
              <w:right w:w="15" w:type="dxa"/>
            </w:tcMar>
            <w:vAlign w:val="center"/>
          </w:tcPr>
          <w:p w14:paraId="059E04C4"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1A29869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90</w:t>
            </w:r>
          </w:p>
        </w:tc>
      </w:tr>
      <w:tr w:rsidR="00716108" w:rsidRPr="00490F9F" w14:paraId="781A5C41"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7C695799"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D</w:t>
            </w:r>
          </w:p>
        </w:tc>
        <w:tc>
          <w:tcPr>
            <w:tcW w:w="992" w:type="dxa"/>
            <w:noWrap/>
            <w:tcMar>
              <w:top w:w="15" w:type="dxa"/>
              <w:left w:w="15" w:type="dxa"/>
              <w:bottom w:w="0" w:type="dxa"/>
              <w:right w:w="15" w:type="dxa"/>
            </w:tcMar>
            <w:vAlign w:val="center"/>
          </w:tcPr>
          <w:p w14:paraId="70527CC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134" w:type="dxa"/>
            <w:noWrap/>
            <w:tcMar>
              <w:top w:w="15" w:type="dxa"/>
              <w:left w:w="15" w:type="dxa"/>
              <w:bottom w:w="0" w:type="dxa"/>
              <w:right w:w="15" w:type="dxa"/>
            </w:tcMar>
            <w:vAlign w:val="center"/>
          </w:tcPr>
          <w:p w14:paraId="278A6D7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926" w:type="dxa"/>
            <w:noWrap/>
            <w:tcMar>
              <w:top w:w="15" w:type="dxa"/>
              <w:left w:w="15" w:type="dxa"/>
              <w:bottom w:w="0" w:type="dxa"/>
              <w:right w:w="15" w:type="dxa"/>
            </w:tcMar>
            <w:vAlign w:val="center"/>
          </w:tcPr>
          <w:p w14:paraId="04960922" w14:textId="33246E60"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 xml:space="preserve">Electronic </w:t>
            </w:r>
            <w:r w:rsidR="00716108" w:rsidRPr="00490F9F">
              <w:rPr>
                <w:rFonts w:ascii="Arial" w:hAnsi="Arial" w:cs="Arial"/>
                <w:sz w:val="16"/>
                <w:szCs w:val="16"/>
              </w:rPr>
              <w:t>Order Book</w:t>
            </w:r>
          </w:p>
        </w:tc>
        <w:tc>
          <w:tcPr>
            <w:tcW w:w="785" w:type="dxa"/>
            <w:noWrap/>
            <w:tcMar>
              <w:top w:w="15" w:type="dxa"/>
              <w:left w:w="15" w:type="dxa"/>
              <w:bottom w:w="0" w:type="dxa"/>
              <w:right w:w="15" w:type="dxa"/>
            </w:tcMar>
            <w:vAlign w:val="center"/>
          </w:tcPr>
          <w:p w14:paraId="0AE918D9"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785" w:type="dxa"/>
            <w:noWrap/>
            <w:tcMar>
              <w:top w:w="15" w:type="dxa"/>
              <w:left w:w="15" w:type="dxa"/>
              <w:bottom w:w="0" w:type="dxa"/>
              <w:right w:w="15" w:type="dxa"/>
            </w:tcMar>
            <w:vAlign w:val="center"/>
          </w:tcPr>
          <w:p w14:paraId="2B6AF8DA"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46" w:type="dxa"/>
            <w:noWrap/>
            <w:tcMar>
              <w:top w:w="15" w:type="dxa"/>
              <w:left w:w="15" w:type="dxa"/>
              <w:bottom w:w="0" w:type="dxa"/>
              <w:right w:w="15" w:type="dxa"/>
            </w:tcMar>
            <w:vAlign w:val="center"/>
          </w:tcPr>
          <w:p w14:paraId="41D989A1"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1417" w:type="dxa"/>
            <w:noWrap/>
            <w:tcMar>
              <w:top w:w="15" w:type="dxa"/>
              <w:left w:w="15" w:type="dxa"/>
              <w:bottom w:w="0" w:type="dxa"/>
              <w:right w:w="15" w:type="dxa"/>
            </w:tcMar>
            <w:vAlign w:val="center"/>
          </w:tcPr>
          <w:p w14:paraId="5181B570" w14:textId="77777777" w:rsidR="00716108" w:rsidRPr="00490F9F" w:rsidRDefault="00716108" w:rsidP="00E91CD3">
            <w:pPr>
              <w:spacing w:after="0" w:line="240" w:lineRule="auto"/>
              <w:jc w:val="center"/>
              <w:rPr>
                <w:rFonts w:ascii="Arial" w:hAnsi="Arial" w:cs="Arial"/>
                <w:sz w:val="16"/>
                <w:szCs w:val="16"/>
              </w:rPr>
            </w:pPr>
          </w:p>
        </w:tc>
      </w:tr>
      <w:tr w:rsidR="00716108" w:rsidRPr="00490F9F" w14:paraId="1C33B24C"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26523043"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E</w:t>
            </w:r>
          </w:p>
        </w:tc>
        <w:tc>
          <w:tcPr>
            <w:tcW w:w="992" w:type="dxa"/>
            <w:noWrap/>
            <w:tcMar>
              <w:top w:w="15" w:type="dxa"/>
              <w:left w:w="15" w:type="dxa"/>
              <w:bottom w:w="0" w:type="dxa"/>
              <w:right w:w="15" w:type="dxa"/>
            </w:tcMar>
            <w:vAlign w:val="center"/>
          </w:tcPr>
          <w:p w14:paraId="3A123D8D"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134" w:type="dxa"/>
            <w:noWrap/>
            <w:tcMar>
              <w:top w:w="15" w:type="dxa"/>
              <w:left w:w="15" w:type="dxa"/>
              <w:bottom w:w="0" w:type="dxa"/>
              <w:right w:w="15" w:type="dxa"/>
            </w:tcMar>
            <w:vAlign w:val="center"/>
          </w:tcPr>
          <w:p w14:paraId="68D02170"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926" w:type="dxa"/>
            <w:noWrap/>
            <w:tcMar>
              <w:top w:w="15" w:type="dxa"/>
              <w:left w:w="15" w:type="dxa"/>
              <w:bottom w:w="0" w:type="dxa"/>
              <w:right w:w="15" w:type="dxa"/>
            </w:tcMar>
            <w:vAlign w:val="center"/>
          </w:tcPr>
          <w:p w14:paraId="139FB004" w14:textId="5FF614AC"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70303343"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50</w:t>
            </w:r>
          </w:p>
        </w:tc>
        <w:tc>
          <w:tcPr>
            <w:tcW w:w="785" w:type="dxa"/>
            <w:noWrap/>
            <w:tcMar>
              <w:top w:w="15" w:type="dxa"/>
              <w:left w:w="15" w:type="dxa"/>
              <w:bottom w:w="0" w:type="dxa"/>
              <w:right w:w="15" w:type="dxa"/>
            </w:tcMar>
            <w:vAlign w:val="center"/>
          </w:tcPr>
          <w:p w14:paraId="042B78D2"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46" w:type="dxa"/>
            <w:noWrap/>
            <w:tcMar>
              <w:top w:w="15" w:type="dxa"/>
              <w:left w:w="15" w:type="dxa"/>
              <w:bottom w:w="0" w:type="dxa"/>
              <w:right w:w="15" w:type="dxa"/>
            </w:tcMar>
            <w:vAlign w:val="center"/>
          </w:tcPr>
          <w:p w14:paraId="12C6BDEC"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6D70D1F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100</w:t>
            </w:r>
          </w:p>
        </w:tc>
      </w:tr>
      <w:tr w:rsidR="00716108" w:rsidRPr="00490F9F" w14:paraId="0DA309BC"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064BBEB1"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F</w:t>
            </w:r>
          </w:p>
        </w:tc>
        <w:tc>
          <w:tcPr>
            <w:tcW w:w="992" w:type="dxa"/>
            <w:noWrap/>
            <w:tcMar>
              <w:top w:w="15" w:type="dxa"/>
              <w:left w:w="15" w:type="dxa"/>
              <w:bottom w:w="0" w:type="dxa"/>
              <w:right w:w="15" w:type="dxa"/>
            </w:tcMar>
            <w:vAlign w:val="center"/>
          </w:tcPr>
          <w:p w14:paraId="22DF3ECE"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134" w:type="dxa"/>
            <w:noWrap/>
            <w:tcMar>
              <w:top w:w="15" w:type="dxa"/>
              <w:left w:w="15" w:type="dxa"/>
              <w:bottom w:w="0" w:type="dxa"/>
              <w:right w:w="15" w:type="dxa"/>
            </w:tcMar>
            <w:vAlign w:val="center"/>
          </w:tcPr>
          <w:p w14:paraId="697928A5"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926" w:type="dxa"/>
            <w:noWrap/>
            <w:tcMar>
              <w:top w:w="15" w:type="dxa"/>
              <w:left w:w="15" w:type="dxa"/>
              <w:bottom w:w="0" w:type="dxa"/>
              <w:right w:w="15" w:type="dxa"/>
            </w:tcMar>
            <w:vAlign w:val="center"/>
          </w:tcPr>
          <w:p w14:paraId="68192A8A" w14:textId="3DE07D04"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2881DFDA"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60</w:t>
            </w:r>
          </w:p>
        </w:tc>
        <w:tc>
          <w:tcPr>
            <w:tcW w:w="785" w:type="dxa"/>
            <w:noWrap/>
            <w:tcMar>
              <w:top w:w="15" w:type="dxa"/>
              <w:left w:w="15" w:type="dxa"/>
              <w:bottom w:w="0" w:type="dxa"/>
              <w:right w:w="15" w:type="dxa"/>
            </w:tcMar>
            <w:vAlign w:val="center"/>
          </w:tcPr>
          <w:p w14:paraId="1975815E"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46" w:type="dxa"/>
            <w:noWrap/>
            <w:tcMar>
              <w:top w:w="15" w:type="dxa"/>
              <w:left w:w="15" w:type="dxa"/>
              <w:bottom w:w="0" w:type="dxa"/>
              <w:right w:w="15" w:type="dxa"/>
            </w:tcMar>
            <w:vAlign w:val="center"/>
          </w:tcPr>
          <w:p w14:paraId="4BF0BE73"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6DC730A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180</w:t>
            </w:r>
          </w:p>
        </w:tc>
      </w:tr>
      <w:tr w:rsidR="00716108" w:rsidRPr="00490F9F" w14:paraId="15E84F32" w14:textId="77777777" w:rsidTr="00F505A1">
        <w:trPr>
          <w:cantSplit/>
          <w:trHeight w:val="20"/>
        </w:trPr>
        <w:tc>
          <w:tcPr>
            <w:tcW w:w="6346" w:type="dxa"/>
            <w:gridSpan w:val="6"/>
            <w:noWrap/>
            <w:tcMar>
              <w:top w:w="15" w:type="dxa"/>
              <w:left w:w="15" w:type="dxa"/>
              <w:bottom w:w="0" w:type="dxa"/>
              <w:right w:w="15" w:type="dxa"/>
            </w:tcMar>
            <w:vAlign w:val="center"/>
          </w:tcPr>
          <w:p w14:paraId="42B91D48" w14:textId="77777777" w:rsidR="00716108" w:rsidRPr="00490F9F" w:rsidRDefault="00716108" w:rsidP="00E91CD3">
            <w:pPr>
              <w:spacing w:after="0" w:line="240" w:lineRule="auto"/>
              <w:rPr>
                <w:rFonts w:ascii="Arial" w:hAnsi="Arial" w:cs="Arial"/>
                <w:b/>
                <w:sz w:val="16"/>
                <w:szCs w:val="16"/>
              </w:rPr>
            </w:pPr>
            <w:r w:rsidRPr="00490F9F">
              <w:rPr>
                <w:rFonts w:ascii="Arial" w:hAnsi="Arial" w:cs="Arial"/>
                <w:b/>
                <w:sz w:val="16"/>
                <w:szCs w:val="16"/>
              </w:rPr>
              <w:t>Sub-totals</w:t>
            </w:r>
          </w:p>
        </w:tc>
        <w:tc>
          <w:tcPr>
            <w:tcW w:w="1446" w:type="dxa"/>
            <w:noWrap/>
            <w:tcMar>
              <w:top w:w="15" w:type="dxa"/>
              <w:left w:w="15" w:type="dxa"/>
              <w:bottom w:w="0" w:type="dxa"/>
              <w:right w:w="15" w:type="dxa"/>
            </w:tcMar>
            <w:vAlign w:val="center"/>
          </w:tcPr>
          <w:p w14:paraId="52A51E89"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50</w:t>
            </w:r>
          </w:p>
        </w:tc>
        <w:tc>
          <w:tcPr>
            <w:tcW w:w="1417" w:type="dxa"/>
            <w:noWrap/>
            <w:tcMar>
              <w:top w:w="15" w:type="dxa"/>
              <w:left w:w="15" w:type="dxa"/>
              <w:bottom w:w="0" w:type="dxa"/>
              <w:right w:w="15" w:type="dxa"/>
            </w:tcMar>
            <w:vAlign w:val="center"/>
          </w:tcPr>
          <w:p w14:paraId="23913D45"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410</w:t>
            </w:r>
          </w:p>
        </w:tc>
      </w:tr>
      <w:tr w:rsidR="00716108" w:rsidRPr="00490F9F" w14:paraId="6C8B7022" w14:textId="77777777" w:rsidTr="00F505A1">
        <w:trPr>
          <w:cantSplit/>
          <w:trHeight w:val="20"/>
        </w:trPr>
        <w:tc>
          <w:tcPr>
            <w:tcW w:w="6346" w:type="dxa"/>
            <w:gridSpan w:val="6"/>
            <w:noWrap/>
            <w:tcMar>
              <w:top w:w="15" w:type="dxa"/>
              <w:left w:w="15" w:type="dxa"/>
              <w:bottom w:w="0" w:type="dxa"/>
              <w:right w:w="15" w:type="dxa"/>
            </w:tcMar>
            <w:vAlign w:val="center"/>
          </w:tcPr>
          <w:p w14:paraId="0C32DD73"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Total</w:t>
            </w:r>
          </w:p>
        </w:tc>
        <w:tc>
          <w:tcPr>
            <w:tcW w:w="2863" w:type="dxa"/>
            <w:gridSpan w:val="2"/>
            <w:noWrap/>
            <w:tcMar>
              <w:top w:w="15" w:type="dxa"/>
              <w:left w:w="15" w:type="dxa"/>
              <w:bottom w:w="0" w:type="dxa"/>
              <w:right w:w="15" w:type="dxa"/>
            </w:tcMar>
            <w:vAlign w:val="bottom"/>
          </w:tcPr>
          <w:p w14:paraId="166645AB"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460</w:t>
            </w:r>
          </w:p>
        </w:tc>
      </w:tr>
    </w:tbl>
    <w:p w14:paraId="04DE8C24" w14:textId="68B2EB8F" w:rsidR="00E3791B" w:rsidRDefault="00E3791B" w:rsidP="00E91CD3">
      <w:pPr>
        <w:spacing w:after="0" w:line="240" w:lineRule="auto"/>
        <w:rPr>
          <w:rFonts w:ascii="Arial" w:eastAsia="Times New Roman" w:hAnsi="Arial" w:cs="Arial"/>
          <w:b/>
          <w:snapToGrid w:val="0"/>
          <w:spacing w:val="-3"/>
          <w:szCs w:val="20"/>
          <w:lang w:eastAsia="fr-FR"/>
        </w:rPr>
      </w:pPr>
    </w:p>
    <w:p w14:paraId="66846E4D" w14:textId="2035FC83" w:rsidR="00BE305E" w:rsidRDefault="00BE305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 database contains several different totals:</w:t>
      </w:r>
    </w:p>
    <w:p w14:paraId="5224E962"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E601487" w14:textId="409E27F3" w:rsidR="00BE305E"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056011">
        <w:rPr>
          <w:rFonts w:ascii="Arial" w:hAnsi="Arial" w:cs="Arial"/>
          <w:spacing w:val="-3"/>
          <w:sz w:val="20"/>
        </w:rPr>
        <w:t xml:space="preserve">EOB </w:t>
      </w:r>
      <w:r w:rsidR="00BE305E">
        <w:rPr>
          <w:rFonts w:ascii="Arial" w:hAnsi="Arial" w:cs="Arial"/>
          <w:spacing w:val="-3"/>
          <w:sz w:val="20"/>
        </w:rPr>
        <w:t xml:space="preserve">total </w:t>
      </w:r>
      <w:r w:rsidR="00BE305E" w:rsidRPr="00BE305E">
        <w:rPr>
          <w:rFonts w:ascii="Arial" w:hAnsi="Arial" w:cs="Arial"/>
          <w:spacing w:val="-3"/>
          <w:sz w:val="20"/>
        </w:rPr>
        <w:t xml:space="preserve">is the sum of </w:t>
      </w:r>
      <w:r w:rsidRPr="0037183B">
        <w:rPr>
          <w:rFonts w:ascii="Arial" w:hAnsi="Arial" w:cs="Arial"/>
          <w:color w:val="1F3864" w:themeColor="accent1" w:themeShade="80"/>
          <w:sz w:val="20"/>
          <w:u w:val="single"/>
        </w:rPr>
        <w:fldChar w:fldCharType="begin"/>
      </w:r>
      <w:r w:rsidRPr="0037183B">
        <w:rPr>
          <w:rFonts w:ascii="Arial" w:hAnsi="Arial" w:cs="Arial"/>
          <w:color w:val="1F3864" w:themeColor="accent1" w:themeShade="80"/>
          <w:sz w:val="20"/>
          <w:u w:val="single"/>
        </w:rPr>
        <w:instrText xml:space="preserve"> REF _Ref13572577 \h </w:instrText>
      </w:r>
      <w:r>
        <w:rPr>
          <w:rFonts w:ascii="Arial" w:hAnsi="Arial" w:cs="Arial"/>
          <w:color w:val="1F3864" w:themeColor="accent1" w:themeShade="80"/>
          <w:sz w:val="20"/>
          <w:u w:val="single"/>
        </w:rPr>
        <w:instrText xml:space="preserve"> \* MERGEFORMAT </w:instrText>
      </w:r>
      <w:r w:rsidRPr="0037183B">
        <w:rPr>
          <w:rFonts w:ascii="Arial" w:hAnsi="Arial" w:cs="Arial"/>
          <w:color w:val="1F3864" w:themeColor="accent1" w:themeShade="80"/>
          <w:sz w:val="20"/>
          <w:u w:val="single"/>
        </w:rPr>
      </w:r>
      <w:r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Pr="0037183B">
        <w:rPr>
          <w:rFonts w:ascii="Arial" w:hAnsi="Arial" w:cs="Arial"/>
          <w:color w:val="1F3864" w:themeColor="accent1" w:themeShade="80"/>
          <w:sz w:val="20"/>
          <w:u w:val="single"/>
        </w:rPr>
        <w:fldChar w:fldCharType="end"/>
      </w:r>
      <w:r w:rsidR="00BE305E" w:rsidRPr="00BE305E">
        <w:rPr>
          <w:rFonts w:ascii="Arial" w:hAnsi="Arial" w:cs="Arial"/>
          <w:spacing w:val="-3"/>
          <w:sz w:val="20"/>
        </w:rPr>
        <w:t xml:space="preserve"> Trading for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00247E2F" w:rsidRPr="00247E2F">
        <w:rPr>
          <w:rFonts w:ascii="Arial" w:hAnsi="Arial" w:cs="Arial"/>
          <w:color w:val="002060"/>
          <w:spacing w:val="-3"/>
          <w:sz w:val="20"/>
          <w:u w:val="single"/>
        </w:rPr>
        <w:t xml:space="preserve"> </w:t>
      </w:r>
      <w:r w:rsidR="00247E2F" w:rsidRPr="00245D43">
        <w:rPr>
          <w:rFonts w:ascii="Arial" w:hAnsi="Arial" w:cs="Arial"/>
          <w:color w:val="002060"/>
          <w:spacing w:val="-3"/>
          <w:sz w:val="20"/>
          <w:u w:val="single"/>
        </w:rPr>
        <w:fldChar w:fldCharType="begin"/>
      </w:r>
      <w:r w:rsidR="00247E2F" w:rsidRPr="00245D43">
        <w:rPr>
          <w:rFonts w:ascii="Arial" w:hAnsi="Arial" w:cs="Arial"/>
          <w:color w:val="002060"/>
          <w:spacing w:val="-3"/>
          <w:sz w:val="20"/>
          <w:u w:val="single"/>
        </w:rPr>
        <w:instrText xml:space="preserve"> REF _Ref13652166 \h  \* MERGEFORMAT </w:instrText>
      </w:r>
      <w:r w:rsidR="00247E2F" w:rsidRPr="00245D43">
        <w:rPr>
          <w:rFonts w:ascii="Arial" w:hAnsi="Arial" w:cs="Arial"/>
          <w:color w:val="002060"/>
          <w:spacing w:val="-3"/>
          <w:sz w:val="20"/>
          <w:u w:val="single"/>
        </w:rPr>
      </w:r>
      <w:r w:rsidR="00247E2F" w:rsidRPr="00245D43">
        <w:rPr>
          <w:rFonts w:ascii="Arial" w:hAnsi="Arial" w:cs="Arial"/>
          <w:color w:val="002060"/>
          <w:spacing w:val="-3"/>
          <w:sz w:val="20"/>
          <w:u w:val="single"/>
        </w:rPr>
        <w:fldChar w:fldCharType="separate"/>
      </w:r>
      <w:r w:rsidR="0094528E" w:rsidRPr="0094528E">
        <w:rPr>
          <w:rFonts w:ascii="Arial" w:hAnsi="Arial" w:cs="Arial"/>
          <w:color w:val="002060"/>
          <w:sz w:val="20"/>
          <w:u w:val="single"/>
        </w:rPr>
        <w:t>Domestic public bonds</w:t>
      </w:r>
      <w:r w:rsidR="00247E2F" w:rsidRPr="00245D43">
        <w:rPr>
          <w:rFonts w:ascii="Arial" w:hAnsi="Arial" w:cs="Arial"/>
          <w:color w:val="002060"/>
          <w:spacing w:val="-3"/>
          <w:sz w:val="20"/>
          <w:u w:val="single"/>
        </w:rPr>
        <w:fldChar w:fldCharType="end"/>
      </w:r>
      <w:r>
        <w:rPr>
          <w:rFonts w:ascii="Arial" w:hAnsi="Arial" w:cs="Arial"/>
          <w:spacing w:val="-3"/>
          <w:sz w:val="20"/>
        </w:rPr>
        <w:t xml:space="preserve"> 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00BE305E">
        <w:rPr>
          <w:rFonts w:ascii="Arial" w:hAnsi="Arial" w:cs="Arial"/>
          <w:spacing w:val="-3"/>
          <w:sz w:val="20"/>
        </w:rPr>
        <w:t>;</w:t>
      </w:r>
    </w:p>
    <w:p w14:paraId="7B4769D9" w14:textId="0AEF1C2A" w:rsidR="00BE305E"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056011">
        <w:rPr>
          <w:rFonts w:ascii="Arial" w:hAnsi="Arial" w:cs="Arial"/>
          <w:spacing w:val="-3"/>
          <w:sz w:val="20"/>
        </w:rPr>
        <w:t>Negotiated deals</w:t>
      </w:r>
      <w:r w:rsidRPr="00056011">
        <w:rPr>
          <w:rFonts w:ascii="Arial" w:hAnsi="Arial" w:cs="Arial"/>
          <w:color w:val="002060"/>
          <w:sz w:val="20"/>
          <w:szCs w:val="18"/>
        </w:rPr>
        <w:t xml:space="preserve"> </w:t>
      </w:r>
      <w:r w:rsidR="00BE305E" w:rsidRPr="00056011">
        <w:rPr>
          <w:rFonts w:ascii="Arial" w:hAnsi="Arial" w:cs="Arial"/>
          <w:color w:val="002060"/>
          <w:sz w:val="20"/>
          <w:szCs w:val="18"/>
        </w:rPr>
        <w:t>t</w:t>
      </w:r>
      <w:r w:rsidR="00BE305E">
        <w:rPr>
          <w:rFonts w:ascii="Arial" w:hAnsi="Arial" w:cs="Arial"/>
          <w:spacing w:val="-3"/>
          <w:sz w:val="20"/>
        </w:rPr>
        <w:t xml:space="preserve">otal is the sum of </w:t>
      </w:r>
      <w:r w:rsidRPr="0037183B">
        <w:rPr>
          <w:rFonts w:ascii="Arial" w:hAnsi="Arial" w:cs="Arial"/>
          <w:color w:val="002060"/>
          <w:sz w:val="20"/>
          <w:szCs w:val="18"/>
          <w:u w:val="single"/>
        </w:rPr>
        <w:fldChar w:fldCharType="begin"/>
      </w:r>
      <w:r w:rsidRPr="00A55E94">
        <w:rPr>
          <w:rFonts w:ascii="Arial" w:hAnsi="Arial" w:cs="Arial"/>
          <w:color w:val="002060"/>
          <w:sz w:val="20"/>
          <w:szCs w:val="18"/>
          <w:u w:val="single"/>
        </w:rPr>
        <w:instrText xml:space="preserve"> REF _Ref13572784 \h  \* MERGEFORMAT </w:instrText>
      </w:r>
      <w:r w:rsidRPr="0037183B">
        <w:rPr>
          <w:rFonts w:ascii="Arial" w:hAnsi="Arial" w:cs="Arial"/>
          <w:color w:val="002060"/>
          <w:sz w:val="20"/>
          <w:szCs w:val="18"/>
          <w:u w:val="single"/>
        </w:rPr>
      </w:r>
      <w:r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Pr="0037183B">
        <w:rPr>
          <w:color w:val="002060"/>
          <w:u w:val="single"/>
        </w:rPr>
        <w:fldChar w:fldCharType="end"/>
      </w:r>
      <w:r w:rsidR="00BE305E">
        <w:rPr>
          <w:rFonts w:ascii="Arial" w:hAnsi="Arial" w:cs="Arial"/>
          <w:spacing w:val="-3"/>
          <w:sz w:val="20"/>
        </w:rPr>
        <w:t xml:space="preserve"> for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00247E2F">
        <w:rPr>
          <w:rFonts w:ascii="Arial" w:hAnsi="Arial" w:cs="Arial"/>
          <w:spacing w:val="-3"/>
          <w:sz w:val="20"/>
        </w:rPr>
        <w:t xml:space="preserve"> </w:t>
      </w:r>
      <w:r w:rsidR="00247E2F" w:rsidRPr="00245D43">
        <w:rPr>
          <w:rFonts w:ascii="Arial" w:hAnsi="Arial" w:cs="Arial"/>
          <w:color w:val="002060"/>
          <w:spacing w:val="-3"/>
          <w:sz w:val="20"/>
          <w:u w:val="single"/>
        </w:rPr>
        <w:fldChar w:fldCharType="begin"/>
      </w:r>
      <w:r w:rsidR="00247E2F" w:rsidRPr="00245D43">
        <w:rPr>
          <w:rFonts w:ascii="Arial" w:hAnsi="Arial" w:cs="Arial"/>
          <w:color w:val="002060"/>
          <w:spacing w:val="-3"/>
          <w:sz w:val="20"/>
          <w:u w:val="single"/>
        </w:rPr>
        <w:instrText xml:space="preserve"> REF _Ref13652166 \h  \* MERGEFORMAT </w:instrText>
      </w:r>
      <w:r w:rsidR="00247E2F" w:rsidRPr="00245D43">
        <w:rPr>
          <w:rFonts w:ascii="Arial" w:hAnsi="Arial" w:cs="Arial"/>
          <w:color w:val="002060"/>
          <w:spacing w:val="-3"/>
          <w:sz w:val="20"/>
          <w:u w:val="single"/>
        </w:rPr>
      </w:r>
      <w:r w:rsidR="00247E2F" w:rsidRPr="00245D43">
        <w:rPr>
          <w:rFonts w:ascii="Arial" w:hAnsi="Arial" w:cs="Arial"/>
          <w:color w:val="002060"/>
          <w:spacing w:val="-3"/>
          <w:sz w:val="20"/>
          <w:u w:val="single"/>
        </w:rPr>
        <w:fldChar w:fldCharType="separate"/>
      </w:r>
      <w:r w:rsidR="0094528E" w:rsidRPr="0094528E">
        <w:rPr>
          <w:rFonts w:ascii="Arial" w:hAnsi="Arial" w:cs="Arial"/>
          <w:color w:val="002060"/>
          <w:sz w:val="20"/>
          <w:u w:val="single"/>
        </w:rPr>
        <w:t>Domestic public bonds</w:t>
      </w:r>
      <w:r w:rsidR="00247E2F" w:rsidRPr="00245D43">
        <w:rPr>
          <w:rFonts w:ascii="Arial" w:hAnsi="Arial" w:cs="Arial"/>
          <w:color w:val="002060"/>
          <w:spacing w:val="-3"/>
          <w:sz w:val="20"/>
          <w:u w:val="single"/>
        </w:rPr>
        <w:fldChar w:fldCharType="end"/>
      </w:r>
      <w:r w:rsidR="00247E2F">
        <w:rPr>
          <w:rFonts w:ascii="Arial" w:hAnsi="Arial" w:cs="Arial"/>
          <w:color w:val="002060"/>
          <w:spacing w:val="-3"/>
          <w:sz w:val="20"/>
          <w:u w:val="single"/>
        </w:rPr>
        <w:t xml:space="preserve"> </w:t>
      </w:r>
      <w:r>
        <w:rPr>
          <w:rFonts w:ascii="Arial" w:hAnsi="Arial" w:cs="Arial"/>
          <w:spacing w:val="-3"/>
          <w:sz w:val="20"/>
        </w:rPr>
        <w:t xml:space="preserve">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00BE305E">
        <w:rPr>
          <w:rFonts w:ascii="Arial" w:hAnsi="Arial" w:cs="Arial"/>
          <w:spacing w:val="-3"/>
          <w:sz w:val="20"/>
        </w:rPr>
        <w:t>;</w:t>
      </w:r>
    </w:p>
    <w:p w14:paraId="6B3A4686" w14:textId="73070040" w:rsidR="00BE305E"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Domestic Private Sector is the sum of </w:t>
      </w:r>
      <w:r w:rsidR="00056011" w:rsidRPr="0037183B">
        <w:rPr>
          <w:rFonts w:ascii="Arial" w:hAnsi="Arial" w:cs="Arial"/>
          <w:color w:val="1F3864" w:themeColor="accent1" w:themeShade="80"/>
          <w:sz w:val="20"/>
          <w:u w:val="single"/>
        </w:rPr>
        <w:fldChar w:fldCharType="begin"/>
      </w:r>
      <w:r w:rsidR="00056011" w:rsidRPr="0037183B">
        <w:rPr>
          <w:rFonts w:ascii="Arial" w:hAnsi="Arial" w:cs="Arial"/>
          <w:color w:val="1F3864" w:themeColor="accent1" w:themeShade="80"/>
          <w:sz w:val="20"/>
          <w:u w:val="single"/>
        </w:rPr>
        <w:instrText xml:space="preserve"> REF _Ref13572577 \h </w:instrText>
      </w:r>
      <w:r w:rsidR="00056011">
        <w:rPr>
          <w:rFonts w:ascii="Arial" w:hAnsi="Arial" w:cs="Arial"/>
          <w:color w:val="1F3864" w:themeColor="accent1" w:themeShade="80"/>
          <w:sz w:val="20"/>
          <w:u w:val="single"/>
        </w:rPr>
        <w:instrText xml:space="preserve"> \* MERGEFORMAT </w:instrText>
      </w:r>
      <w:r w:rsidR="00056011" w:rsidRPr="0037183B">
        <w:rPr>
          <w:rFonts w:ascii="Arial" w:hAnsi="Arial" w:cs="Arial"/>
          <w:color w:val="1F3864" w:themeColor="accent1" w:themeShade="80"/>
          <w:sz w:val="20"/>
          <w:u w:val="single"/>
        </w:rPr>
      </w:r>
      <w:r w:rsidR="00056011"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00056011" w:rsidRPr="0037183B">
        <w:rPr>
          <w:rFonts w:ascii="Arial" w:hAnsi="Arial" w:cs="Arial"/>
          <w:color w:val="1F3864" w:themeColor="accent1" w:themeShade="80"/>
          <w:sz w:val="20"/>
          <w:u w:val="single"/>
        </w:rPr>
        <w:fldChar w:fldCharType="end"/>
      </w:r>
      <w:r w:rsidR="00056011">
        <w:rPr>
          <w:rFonts w:ascii="Arial" w:hAnsi="Arial" w:cs="Arial"/>
          <w:color w:val="1F3864" w:themeColor="accent1" w:themeShade="80"/>
          <w:sz w:val="20"/>
          <w:u w:val="single"/>
        </w:rPr>
        <w:t xml:space="preserve"> </w:t>
      </w:r>
      <w:r>
        <w:rPr>
          <w:rFonts w:ascii="Arial" w:hAnsi="Arial" w:cs="Arial"/>
          <w:spacing w:val="-3"/>
          <w:sz w:val="20"/>
        </w:rPr>
        <w:t xml:space="preserve">and </w:t>
      </w:r>
      <w:r w:rsidR="00056011" w:rsidRPr="0037183B">
        <w:rPr>
          <w:rFonts w:ascii="Arial" w:hAnsi="Arial" w:cs="Arial"/>
          <w:color w:val="002060"/>
          <w:sz w:val="20"/>
          <w:szCs w:val="18"/>
          <w:u w:val="single"/>
        </w:rPr>
        <w:fldChar w:fldCharType="begin"/>
      </w:r>
      <w:r w:rsidR="00056011" w:rsidRPr="00A55E94">
        <w:rPr>
          <w:rFonts w:ascii="Arial" w:hAnsi="Arial" w:cs="Arial"/>
          <w:color w:val="002060"/>
          <w:sz w:val="20"/>
          <w:szCs w:val="18"/>
          <w:u w:val="single"/>
        </w:rPr>
        <w:instrText xml:space="preserve"> REF _Ref13572784 \h  \* MERGEFORMAT </w:instrText>
      </w:r>
      <w:r w:rsidR="00056011" w:rsidRPr="0037183B">
        <w:rPr>
          <w:rFonts w:ascii="Arial" w:hAnsi="Arial" w:cs="Arial"/>
          <w:color w:val="002060"/>
          <w:sz w:val="20"/>
          <w:szCs w:val="18"/>
          <w:u w:val="single"/>
        </w:rPr>
      </w:r>
      <w:r w:rsidR="00056011"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00056011" w:rsidRPr="0037183B">
        <w:rPr>
          <w:color w:val="002060"/>
          <w:u w:val="single"/>
        </w:rPr>
        <w:fldChar w:fldCharType="end"/>
      </w:r>
      <w:r>
        <w:rPr>
          <w:rFonts w:ascii="Arial" w:hAnsi="Arial" w:cs="Arial"/>
          <w:spacing w:val="-3"/>
          <w:sz w:val="20"/>
        </w:rPr>
        <w:t xml:space="preserve"> for </w:t>
      </w:r>
      <w:r w:rsidR="00056011" w:rsidRPr="00BF5336">
        <w:rPr>
          <w:rFonts w:ascii="Arial" w:hAnsi="Arial" w:cs="Arial"/>
          <w:color w:val="002060"/>
          <w:sz w:val="20"/>
          <w:u w:val="single"/>
        </w:rPr>
        <w:fldChar w:fldCharType="begin"/>
      </w:r>
      <w:r w:rsidR="00056011" w:rsidRPr="00BF5336">
        <w:rPr>
          <w:rFonts w:ascii="Arial" w:hAnsi="Arial" w:cs="Arial"/>
          <w:color w:val="002060"/>
          <w:sz w:val="20"/>
          <w:u w:val="single"/>
        </w:rPr>
        <w:instrText xml:space="preserve"> REF _Ref13652152 \h </w:instrText>
      </w:r>
      <w:r w:rsidR="00056011">
        <w:rPr>
          <w:rFonts w:ascii="Arial" w:hAnsi="Arial" w:cs="Arial"/>
          <w:color w:val="002060"/>
          <w:sz w:val="20"/>
          <w:u w:val="single"/>
        </w:rPr>
        <w:instrText xml:space="preserve"> \* MERGEFORMAT </w:instrText>
      </w:r>
      <w:r w:rsidR="00056011" w:rsidRPr="00BF5336">
        <w:rPr>
          <w:rFonts w:ascii="Arial" w:hAnsi="Arial" w:cs="Arial"/>
          <w:color w:val="002060"/>
          <w:sz w:val="20"/>
          <w:u w:val="single"/>
        </w:rPr>
      </w:r>
      <w:r w:rsidR="00056011"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private bonds</w:t>
      </w:r>
      <w:r w:rsidR="00056011" w:rsidRPr="00BF5336">
        <w:rPr>
          <w:rFonts w:ascii="Arial" w:hAnsi="Arial" w:cs="Arial"/>
          <w:color w:val="002060"/>
          <w:sz w:val="20"/>
          <w:u w:val="single"/>
        </w:rPr>
        <w:fldChar w:fldCharType="end"/>
      </w:r>
      <w:r w:rsidR="00056011">
        <w:rPr>
          <w:rFonts w:ascii="Arial" w:hAnsi="Arial" w:cs="Arial"/>
          <w:color w:val="002060"/>
          <w:sz w:val="20"/>
          <w:u w:val="single"/>
        </w:rPr>
        <w:t>;</w:t>
      </w:r>
    </w:p>
    <w:p w14:paraId="0F164993" w14:textId="4B50CFC5" w:rsidR="005A1D63"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Domestic Public Sector is the sum of </w:t>
      </w:r>
      <w:r w:rsidR="00056011" w:rsidRPr="0037183B">
        <w:rPr>
          <w:rFonts w:ascii="Arial" w:hAnsi="Arial" w:cs="Arial"/>
          <w:color w:val="1F3864" w:themeColor="accent1" w:themeShade="80"/>
          <w:sz w:val="20"/>
          <w:u w:val="single"/>
        </w:rPr>
        <w:fldChar w:fldCharType="begin"/>
      </w:r>
      <w:r w:rsidR="00056011" w:rsidRPr="0037183B">
        <w:rPr>
          <w:rFonts w:ascii="Arial" w:hAnsi="Arial" w:cs="Arial"/>
          <w:color w:val="1F3864" w:themeColor="accent1" w:themeShade="80"/>
          <w:sz w:val="20"/>
          <w:u w:val="single"/>
        </w:rPr>
        <w:instrText xml:space="preserve"> REF _Ref13572577 \h </w:instrText>
      </w:r>
      <w:r w:rsidR="00056011">
        <w:rPr>
          <w:rFonts w:ascii="Arial" w:hAnsi="Arial" w:cs="Arial"/>
          <w:color w:val="1F3864" w:themeColor="accent1" w:themeShade="80"/>
          <w:sz w:val="20"/>
          <w:u w:val="single"/>
        </w:rPr>
        <w:instrText xml:space="preserve"> \* MERGEFORMAT </w:instrText>
      </w:r>
      <w:r w:rsidR="00056011" w:rsidRPr="0037183B">
        <w:rPr>
          <w:rFonts w:ascii="Arial" w:hAnsi="Arial" w:cs="Arial"/>
          <w:color w:val="1F3864" w:themeColor="accent1" w:themeShade="80"/>
          <w:sz w:val="20"/>
          <w:u w:val="single"/>
        </w:rPr>
      </w:r>
      <w:r w:rsidR="00056011"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00056011" w:rsidRPr="0037183B">
        <w:rPr>
          <w:rFonts w:ascii="Arial" w:hAnsi="Arial" w:cs="Arial"/>
          <w:color w:val="1F3864" w:themeColor="accent1" w:themeShade="80"/>
          <w:sz w:val="20"/>
          <w:u w:val="single"/>
        </w:rPr>
        <w:fldChar w:fldCharType="end"/>
      </w:r>
      <w:r w:rsidR="00056011">
        <w:rPr>
          <w:rFonts w:ascii="Arial" w:hAnsi="Arial" w:cs="Arial"/>
          <w:color w:val="1F3864" w:themeColor="accent1" w:themeShade="80"/>
          <w:sz w:val="20"/>
          <w:u w:val="single"/>
        </w:rPr>
        <w:t xml:space="preserve"> </w:t>
      </w:r>
      <w:r w:rsidR="00056011">
        <w:rPr>
          <w:rFonts w:ascii="Arial" w:hAnsi="Arial" w:cs="Arial"/>
          <w:spacing w:val="-3"/>
          <w:sz w:val="20"/>
        </w:rPr>
        <w:t xml:space="preserve">and </w:t>
      </w:r>
      <w:r w:rsidR="00056011" w:rsidRPr="0037183B">
        <w:rPr>
          <w:rFonts w:ascii="Arial" w:hAnsi="Arial" w:cs="Arial"/>
          <w:color w:val="002060"/>
          <w:sz w:val="20"/>
          <w:szCs w:val="18"/>
          <w:u w:val="single"/>
        </w:rPr>
        <w:fldChar w:fldCharType="begin"/>
      </w:r>
      <w:r w:rsidR="00056011" w:rsidRPr="00A55E94">
        <w:rPr>
          <w:rFonts w:ascii="Arial" w:hAnsi="Arial" w:cs="Arial"/>
          <w:color w:val="002060"/>
          <w:sz w:val="20"/>
          <w:szCs w:val="18"/>
          <w:u w:val="single"/>
        </w:rPr>
        <w:instrText xml:space="preserve"> REF _Ref13572784 \h  \* MERGEFORMAT </w:instrText>
      </w:r>
      <w:r w:rsidR="00056011" w:rsidRPr="0037183B">
        <w:rPr>
          <w:rFonts w:ascii="Arial" w:hAnsi="Arial" w:cs="Arial"/>
          <w:color w:val="002060"/>
          <w:sz w:val="20"/>
          <w:szCs w:val="18"/>
          <w:u w:val="single"/>
        </w:rPr>
      </w:r>
      <w:r w:rsidR="00056011"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00056011" w:rsidRPr="0037183B">
        <w:rPr>
          <w:color w:val="002060"/>
          <w:u w:val="single"/>
        </w:rPr>
        <w:fldChar w:fldCharType="end"/>
      </w:r>
      <w:r w:rsidR="00056011">
        <w:rPr>
          <w:rFonts w:ascii="Arial" w:hAnsi="Arial" w:cs="Arial"/>
          <w:spacing w:val="-3"/>
          <w:sz w:val="20"/>
        </w:rPr>
        <w:t xml:space="preserve"> for </w:t>
      </w:r>
      <w:r w:rsidR="00056011" w:rsidRPr="00BF5336">
        <w:rPr>
          <w:rFonts w:ascii="Arial" w:hAnsi="Arial" w:cs="Arial"/>
          <w:color w:val="002060"/>
          <w:sz w:val="20"/>
          <w:u w:val="single"/>
        </w:rPr>
        <w:fldChar w:fldCharType="begin"/>
      </w:r>
      <w:r w:rsidR="00056011" w:rsidRPr="00BF5336">
        <w:rPr>
          <w:rFonts w:ascii="Arial" w:hAnsi="Arial" w:cs="Arial"/>
          <w:color w:val="002060"/>
          <w:sz w:val="20"/>
          <w:u w:val="single"/>
        </w:rPr>
        <w:instrText xml:space="preserve"> REF _Ref13652166 \h </w:instrText>
      </w:r>
      <w:r w:rsidR="00056011">
        <w:rPr>
          <w:rFonts w:ascii="Arial" w:hAnsi="Arial" w:cs="Arial"/>
          <w:color w:val="002060"/>
          <w:sz w:val="20"/>
          <w:u w:val="single"/>
        </w:rPr>
        <w:instrText xml:space="preserve"> \* MERGEFORMAT </w:instrText>
      </w:r>
      <w:r w:rsidR="00056011" w:rsidRPr="00BF5336">
        <w:rPr>
          <w:rFonts w:ascii="Arial" w:hAnsi="Arial" w:cs="Arial"/>
          <w:color w:val="002060"/>
          <w:sz w:val="20"/>
          <w:u w:val="single"/>
        </w:rPr>
      </w:r>
      <w:r w:rsidR="00056011"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public bonds</w:t>
      </w:r>
      <w:r w:rsidR="00056011" w:rsidRPr="00BF5336">
        <w:rPr>
          <w:rFonts w:ascii="Arial" w:hAnsi="Arial" w:cs="Arial"/>
          <w:color w:val="002060"/>
          <w:sz w:val="20"/>
          <w:u w:val="single"/>
        </w:rPr>
        <w:fldChar w:fldCharType="end"/>
      </w:r>
      <w:r w:rsidR="00056011">
        <w:rPr>
          <w:rFonts w:ascii="Arial" w:hAnsi="Arial" w:cs="Arial"/>
          <w:color w:val="002060"/>
          <w:sz w:val="20"/>
          <w:u w:val="single"/>
        </w:rPr>
        <w:t>;</w:t>
      </w:r>
    </w:p>
    <w:p w14:paraId="65115096" w14:textId="181B2BB7" w:rsidR="005A1D63"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Foreign is the sum of </w:t>
      </w:r>
      <w:r w:rsidR="00056011" w:rsidRPr="0037183B">
        <w:rPr>
          <w:rFonts w:ascii="Arial" w:hAnsi="Arial" w:cs="Arial"/>
          <w:color w:val="1F3864" w:themeColor="accent1" w:themeShade="80"/>
          <w:sz w:val="20"/>
          <w:u w:val="single"/>
        </w:rPr>
        <w:fldChar w:fldCharType="begin"/>
      </w:r>
      <w:r w:rsidR="00056011" w:rsidRPr="0037183B">
        <w:rPr>
          <w:rFonts w:ascii="Arial" w:hAnsi="Arial" w:cs="Arial"/>
          <w:color w:val="1F3864" w:themeColor="accent1" w:themeShade="80"/>
          <w:sz w:val="20"/>
          <w:u w:val="single"/>
        </w:rPr>
        <w:instrText xml:space="preserve"> REF _Ref13572577 \h </w:instrText>
      </w:r>
      <w:r w:rsidR="00056011">
        <w:rPr>
          <w:rFonts w:ascii="Arial" w:hAnsi="Arial" w:cs="Arial"/>
          <w:color w:val="1F3864" w:themeColor="accent1" w:themeShade="80"/>
          <w:sz w:val="20"/>
          <w:u w:val="single"/>
        </w:rPr>
        <w:instrText xml:space="preserve"> \* MERGEFORMAT </w:instrText>
      </w:r>
      <w:r w:rsidR="00056011" w:rsidRPr="0037183B">
        <w:rPr>
          <w:rFonts w:ascii="Arial" w:hAnsi="Arial" w:cs="Arial"/>
          <w:color w:val="1F3864" w:themeColor="accent1" w:themeShade="80"/>
          <w:sz w:val="20"/>
          <w:u w:val="single"/>
        </w:rPr>
      </w:r>
      <w:r w:rsidR="00056011"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00056011" w:rsidRPr="0037183B">
        <w:rPr>
          <w:rFonts w:ascii="Arial" w:hAnsi="Arial" w:cs="Arial"/>
          <w:color w:val="1F3864" w:themeColor="accent1" w:themeShade="80"/>
          <w:sz w:val="20"/>
          <w:u w:val="single"/>
        </w:rPr>
        <w:fldChar w:fldCharType="end"/>
      </w:r>
      <w:r w:rsidR="00056011">
        <w:rPr>
          <w:rFonts w:ascii="Arial" w:hAnsi="Arial" w:cs="Arial"/>
          <w:color w:val="1F3864" w:themeColor="accent1" w:themeShade="80"/>
          <w:sz w:val="20"/>
          <w:u w:val="single"/>
        </w:rPr>
        <w:t xml:space="preserve"> </w:t>
      </w:r>
      <w:r w:rsidR="00056011">
        <w:rPr>
          <w:rFonts w:ascii="Arial" w:hAnsi="Arial" w:cs="Arial"/>
          <w:spacing w:val="-3"/>
          <w:sz w:val="20"/>
        </w:rPr>
        <w:t xml:space="preserve">and </w:t>
      </w:r>
      <w:r w:rsidR="00056011" w:rsidRPr="0037183B">
        <w:rPr>
          <w:rFonts w:ascii="Arial" w:hAnsi="Arial" w:cs="Arial"/>
          <w:color w:val="002060"/>
          <w:sz w:val="20"/>
          <w:szCs w:val="18"/>
          <w:u w:val="single"/>
        </w:rPr>
        <w:fldChar w:fldCharType="begin"/>
      </w:r>
      <w:r w:rsidR="00056011" w:rsidRPr="00A55E94">
        <w:rPr>
          <w:rFonts w:ascii="Arial" w:hAnsi="Arial" w:cs="Arial"/>
          <w:color w:val="002060"/>
          <w:sz w:val="20"/>
          <w:szCs w:val="18"/>
          <w:u w:val="single"/>
        </w:rPr>
        <w:instrText xml:space="preserve"> REF _Ref13572784 \h  \* MERGEFORMAT </w:instrText>
      </w:r>
      <w:r w:rsidR="00056011" w:rsidRPr="0037183B">
        <w:rPr>
          <w:rFonts w:ascii="Arial" w:hAnsi="Arial" w:cs="Arial"/>
          <w:color w:val="002060"/>
          <w:sz w:val="20"/>
          <w:szCs w:val="18"/>
          <w:u w:val="single"/>
        </w:rPr>
      </w:r>
      <w:r w:rsidR="00056011"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00056011" w:rsidRPr="0037183B">
        <w:rPr>
          <w:color w:val="002060"/>
          <w:u w:val="single"/>
        </w:rPr>
        <w:fldChar w:fldCharType="end"/>
      </w:r>
      <w:r w:rsidR="00056011">
        <w:rPr>
          <w:rFonts w:ascii="Arial" w:hAnsi="Arial" w:cs="Arial"/>
          <w:spacing w:val="-3"/>
          <w:sz w:val="20"/>
        </w:rPr>
        <w:t xml:space="preserve"> for </w:t>
      </w:r>
      <w:r w:rsidR="00056011" w:rsidRPr="00BF5336">
        <w:rPr>
          <w:rFonts w:ascii="Arial" w:hAnsi="Arial" w:cs="Arial"/>
          <w:color w:val="002060"/>
          <w:sz w:val="20"/>
          <w:u w:val="single"/>
        </w:rPr>
        <w:fldChar w:fldCharType="begin"/>
      </w:r>
      <w:r w:rsidR="00056011" w:rsidRPr="00BF5336">
        <w:rPr>
          <w:rFonts w:ascii="Arial" w:hAnsi="Arial" w:cs="Arial"/>
          <w:color w:val="002060"/>
          <w:sz w:val="20"/>
          <w:u w:val="single"/>
        </w:rPr>
        <w:instrText xml:space="preserve"> REF _Ref13652174 \h </w:instrText>
      </w:r>
      <w:r w:rsidR="00056011">
        <w:rPr>
          <w:rFonts w:ascii="Arial" w:hAnsi="Arial" w:cs="Arial"/>
          <w:color w:val="002060"/>
          <w:sz w:val="20"/>
          <w:u w:val="single"/>
        </w:rPr>
        <w:instrText xml:space="preserve"> \* MERGEFORMAT </w:instrText>
      </w:r>
      <w:r w:rsidR="00056011" w:rsidRPr="00BF5336">
        <w:rPr>
          <w:rFonts w:ascii="Arial" w:hAnsi="Arial" w:cs="Arial"/>
          <w:color w:val="002060"/>
          <w:sz w:val="20"/>
          <w:u w:val="single"/>
        </w:rPr>
      </w:r>
      <w:r w:rsidR="00056011" w:rsidRPr="00BF5336">
        <w:rPr>
          <w:rFonts w:ascii="Arial" w:hAnsi="Arial" w:cs="Arial"/>
          <w:color w:val="002060"/>
          <w:sz w:val="20"/>
          <w:u w:val="single"/>
        </w:rPr>
        <w:fldChar w:fldCharType="separate"/>
      </w:r>
      <w:r w:rsidR="0094528E" w:rsidRPr="0094528E">
        <w:rPr>
          <w:rFonts w:ascii="Arial" w:hAnsi="Arial" w:cs="Arial"/>
          <w:color w:val="002060"/>
          <w:sz w:val="20"/>
          <w:u w:val="single"/>
        </w:rPr>
        <w:t>Foreign bonds</w:t>
      </w:r>
      <w:r w:rsidR="00056011" w:rsidRPr="00BF5336">
        <w:rPr>
          <w:rFonts w:ascii="Arial" w:hAnsi="Arial" w:cs="Arial"/>
          <w:color w:val="002060"/>
          <w:sz w:val="20"/>
          <w:u w:val="single"/>
        </w:rPr>
        <w:fldChar w:fldCharType="end"/>
      </w:r>
      <w:r w:rsidR="00056011">
        <w:rPr>
          <w:rFonts w:ascii="Arial" w:hAnsi="Arial" w:cs="Arial"/>
          <w:color w:val="002060"/>
          <w:sz w:val="20"/>
          <w:u w:val="single"/>
        </w:rPr>
        <w:t>;</w:t>
      </w:r>
    </w:p>
    <w:p w14:paraId="351928B7" w14:textId="704BE923" w:rsidR="005A1D63"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is total trading activity in bonds, found by either summing </w:t>
      </w:r>
      <w:r w:rsidR="00950D4C">
        <w:rPr>
          <w:rFonts w:ascii="Arial" w:hAnsi="Arial" w:cs="Arial"/>
          <w:spacing w:val="-3"/>
          <w:sz w:val="20"/>
        </w:rPr>
        <w:t xml:space="preserve">EOB total and Negotiated Deal total </w:t>
      </w:r>
      <w:r w:rsidR="00950D4C">
        <w:rPr>
          <w:rFonts w:ascii="Arial" w:hAnsi="Arial" w:cs="Arial"/>
          <w:spacing w:val="-3"/>
          <w:sz w:val="20"/>
        </w:rPr>
        <w:lastRenderedPageBreak/>
        <w:t xml:space="preserve">OR Total Domestic Private Sector, Total Domestic Public Sector </w:t>
      </w:r>
      <w:proofErr w:type="gramStart"/>
      <w:r w:rsidR="00950D4C">
        <w:rPr>
          <w:rFonts w:ascii="Arial" w:hAnsi="Arial" w:cs="Arial"/>
          <w:spacing w:val="-3"/>
          <w:sz w:val="20"/>
        </w:rPr>
        <w:t>and</w:t>
      </w:r>
      <w:proofErr w:type="gramEnd"/>
      <w:r w:rsidR="00950D4C">
        <w:rPr>
          <w:rFonts w:ascii="Arial" w:hAnsi="Arial" w:cs="Arial"/>
          <w:spacing w:val="-3"/>
          <w:sz w:val="20"/>
        </w:rPr>
        <w:t xml:space="preserve"> Total Foreign</w:t>
      </w:r>
      <w:r w:rsidR="00056011">
        <w:rPr>
          <w:rFonts w:ascii="Arial" w:hAnsi="Arial" w:cs="Arial"/>
          <w:spacing w:val="-3"/>
          <w:sz w:val="20"/>
        </w:rPr>
        <w:t>.</w:t>
      </w:r>
    </w:p>
    <w:p w14:paraId="78AA771F" w14:textId="77777777" w:rsidR="00950D4C" w:rsidRPr="00F65832" w:rsidRDefault="00950D4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F2C0FF9" w14:textId="6049C490" w:rsidR="00E3791B" w:rsidRPr="00F65832" w:rsidRDefault="00A91093" w:rsidP="00E91CD3">
      <w:pPr>
        <w:spacing w:after="0" w:line="240" w:lineRule="auto"/>
        <w:rPr>
          <w:rFonts w:ascii="Arial" w:eastAsia="Times New Roman" w:hAnsi="Arial" w:cs="Arial"/>
          <w:b/>
          <w:snapToGrid w:val="0"/>
          <w:spacing w:val="-3"/>
          <w:szCs w:val="20"/>
          <w:lang w:eastAsia="fr-FR"/>
        </w:rPr>
      </w:pPr>
      <w:bookmarkStart w:id="13" w:name="_Hlk11654868"/>
      <w:r>
        <w:rPr>
          <w:rFonts w:ascii="Arial" w:eastAsia="Times New Roman" w:hAnsi="Arial" w:cs="Arial"/>
          <w:b/>
          <w:snapToGrid w:val="0"/>
          <w:spacing w:val="-3"/>
          <w:szCs w:val="20"/>
          <w:lang w:eastAsia="fr-FR"/>
        </w:rPr>
        <w:t xml:space="preserve">Indicator: </w:t>
      </w:r>
      <w:bookmarkEnd w:id="13"/>
      <w:r w:rsidR="00E3791B" w:rsidRPr="00F65832">
        <w:rPr>
          <w:rFonts w:ascii="Arial" w:eastAsia="Times New Roman" w:hAnsi="Arial" w:cs="Arial"/>
          <w:b/>
          <w:snapToGrid w:val="0"/>
          <w:spacing w:val="-3"/>
          <w:szCs w:val="20"/>
          <w:lang w:eastAsia="fr-FR"/>
        </w:rPr>
        <w:t>Number of trades (EOB)</w:t>
      </w:r>
    </w:p>
    <w:p w14:paraId="486D9B93" w14:textId="1EEF5BEC" w:rsidR="00E3791B" w:rsidRPr="00F65832" w:rsidRDefault="00A91093"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E3791B" w:rsidRPr="00F65832">
        <w:rPr>
          <w:rFonts w:ascii="Arial" w:eastAsia="Times New Roman" w:hAnsi="Arial" w:cs="Arial"/>
          <w:b/>
          <w:snapToGrid w:val="0"/>
          <w:spacing w:val="-3"/>
          <w:szCs w:val="20"/>
          <w:lang w:eastAsia="fr-FR"/>
        </w:rPr>
        <w:t>Number of trades (Negotiated deals)</w:t>
      </w:r>
    </w:p>
    <w:p w14:paraId="2FF62142" w14:textId="546CF7A5" w:rsidR="00E3791B" w:rsidRDefault="00A91093"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E3791B" w:rsidRPr="00F65832">
        <w:rPr>
          <w:rFonts w:ascii="Arial" w:eastAsia="Times New Roman" w:hAnsi="Arial" w:cs="Arial"/>
          <w:b/>
          <w:snapToGrid w:val="0"/>
          <w:spacing w:val="-3"/>
          <w:szCs w:val="20"/>
          <w:lang w:eastAsia="fr-FR"/>
        </w:rPr>
        <w:t>Number of trades (Total)</w:t>
      </w:r>
    </w:p>
    <w:p w14:paraId="68FA3828" w14:textId="62495383" w:rsidR="00A91093" w:rsidRDefault="00A91093" w:rsidP="00E91CD3">
      <w:pPr>
        <w:spacing w:after="0" w:line="240" w:lineRule="auto"/>
        <w:rPr>
          <w:rFonts w:ascii="Arial" w:eastAsia="Times New Roman" w:hAnsi="Arial" w:cs="Arial"/>
          <w:b/>
          <w:snapToGrid w:val="0"/>
          <w:spacing w:val="-3"/>
          <w:szCs w:val="20"/>
          <w:lang w:eastAsia="fr-FR"/>
        </w:rPr>
      </w:pPr>
    </w:p>
    <w:p w14:paraId="0E8F10C3" w14:textId="56F669F1" w:rsidR="00A93EC7" w:rsidRPr="00F65832"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2F79815C" w14:textId="73B2277D" w:rsidR="00A93EC7" w:rsidRDefault="00A93EC7"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total number of trades in bonds represents all trades which have taken place on the exchange during the period. The number is </w:t>
      </w:r>
      <w:r w:rsidR="00122786">
        <w:rPr>
          <w:rFonts w:ascii="Arial" w:hAnsi="Arial" w:cs="Arial"/>
          <w:spacing w:val="-3"/>
          <w:sz w:val="20"/>
        </w:rPr>
        <w:t xml:space="preserve">single counted </w:t>
      </w:r>
      <w:r w:rsidR="00122786" w:rsidRPr="00490F9F">
        <w:rPr>
          <w:rFonts w:ascii="Arial" w:hAnsi="Arial" w:cs="Arial"/>
          <w:spacing w:val="-3"/>
          <w:sz w:val="20"/>
        </w:rPr>
        <w:t>(i.e., includes one side of the transaction only</w:t>
      </w:r>
      <w:r w:rsidR="00122786">
        <w:rPr>
          <w:rFonts w:ascii="Arial" w:hAnsi="Arial" w:cs="Arial"/>
          <w:spacing w:val="-3"/>
          <w:sz w:val="20"/>
        </w:rPr>
        <w:t>)</w:t>
      </w:r>
      <w:r w:rsidRPr="00490F9F">
        <w:rPr>
          <w:rFonts w:ascii="Arial" w:hAnsi="Arial" w:cs="Arial"/>
          <w:spacing w:val="-3"/>
          <w:sz w:val="20"/>
        </w:rPr>
        <w:t xml:space="preserve">. </w:t>
      </w:r>
    </w:p>
    <w:p w14:paraId="14A1DA07" w14:textId="77777777" w:rsidR="00E91CD3" w:rsidRPr="00490F9F" w:rsidRDefault="00E91CD3" w:rsidP="00E91CD3">
      <w:pPr>
        <w:suppressAutoHyphens/>
        <w:spacing w:after="0" w:line="240" w:lineRule="auto"/>
        <w:jc w:val="both"/>
        <w:rPr>
          <w:rFonts w:ascii="Arial" w:hAnsi="Arial" w:cs="Arial"/>
          <w:spacing w:val="-3"/>
          <w:sz w:val="20"/>
        </w:rPr>
      </w:pPr>
    </w:p>
    <w:p w14:paraId="636461B0" w14:textId="31458DAD" w:rsidR="00A93EC7"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w:hAnsi="Arial" w:cs="Arial"/>
          <w:spacing w:val="-3"/>
          <w:sz w:val="20"/>
        </w:rPr>
      </w:pPr>
      <w:r w:rsidRPr="00490F9F">
        <w:rPr>
          <w:rFonts w:ascii="Arial" w:hAnsi="Arial" w:cs="Arial"/>
          <w:spacing w:val="-3"/>
          <w:sz w:val="20"/>
        </w:rPr>
        <w:t xml:space="preserve">Data are broken down according to the type </w:t>
      </w:r>
      <w:r>
        <w:rPr>
          <w:rFonts w:ascii="Arial" w:hAnsi="Arial" w:cs="Arial"/>
          <w:spacing w:val="-3"/>
          <w:sz w:val="20"/>
        </w:rPr>
        <w:t xml:space="preserve">of </w:t>
      </w:r>
      <w:r w:rsidRPr="00490F9F">
        <w:rPr>
          <w:rFonts w:ascii="Arial" w:hAnsi="Arial" w:cs="Arial"/>
          <w:spacing w:val="-3"/>
          <w:sz w:val="20"/>
        </w:rPr>
        <w:t xml:space="preserve">facility / means used to execute the </w:t>
      </w:r>
      <w:r>
        <w:rPr>
          <w:rFonts w:ascii="Arial" w:hAnsi="Arial" w:cs="Arial"/>
          <w:spacing w:val="-3"/>
          <w:sz w:val="20"/>
        </w:rPr>
        <w:t xml:space="preserve">trade </w:t>
      </w:r>
      <w:r w:rsidRPr="00490F9F">
        <w:rPr>
          <w:rFonts w:ascii="Arial" w:hAnsi="Arial" w:cs="Arial"/>
          <w:spacing w:val="-3"/>
          <w:sz w:val="20"/>
        </w:rPr>
        <w:t>(</w:t>
      </w:r>
      <w:r w:rsidRPr="00490F9F">
        <w:rPr>
          <w:rFonts w:ascii="Arial" w:hAnsi="Arial" w:cs="Arial"/>
          <w:i/>
          <w:iCs/>
          <w:spacing w:val="-3"/>
          <w:sz w:val="20"/>
        </w:rPr>
        <w:t xml:space="preserve">see definitions </w:t>
      </w:r>
      <w:r w:rsidR="005B3C1C">
        <w:rPr>
          <w:rFonts w:ascii="Arial" w:hAnsi="Arial" w:cs="Arial"/>
          <w:i/>
          <w:iCs/>
          <w:spacing w:val="-3"/>
          <w:sz w:val="20"/>
        </w:rPr>
        <w:t>in the glossary</w:t>
      </w:r>
      <w:r w:rsidRPr="00490F9F">
        <w:rPr>
          <w:rFonts w:ascii="Arial" w:hAnsi="Arial" w:cs="Arial"/>
          <w:i/>
          <w:iCs/>
          <w:spacing w:val="-3"/>
          <w:sz w:val="20"/>
        </w:rPr>
        <w:t>)</w:t>
      </w:r>
      <w:r w:rsidRPr="00490F9F">
        <w:rPr>
          <w:rFonts w:ascii="Arial" w:hAnsi="Arial" w:cs="Arial"/>
          <w:spacing w:val="-3"/>
          <w:sz w:val="20"/>
        </w:rPr>
        <w:t>:</w:t>
      </w:r>
    </w:p>
    <w:p w14:paraId="5458F4BF" w14:textId="77777777" w:rsidR="00E91CD3" w:rsidRPr="00490F9F" w:rsidRDefault="00E91CD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w:hAnsi="Arial" w:cs="Arial"/>
          <w:spacing w:val="-3"/>
          <w:sz w:val="20"/>
        </w:rPr>
      </w:pPr>
    </w:p>
    <w:p w14:paraId="1D0490C7" w14:textId="7EF34D68" w:rsidR="00A93EC7" w:rsidRPr="00A55E94" w:rsidRDefault="005B3C1C"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A55E94">
        <w:rPr>
          <w:rFonts w:ascii="Arial" w:hAnsi="Arial" w:cs="Arial"/>
          <w:spacing w:val="-3"/>
          <w:sz w:val="20"/>
        </w:rPr>
        <w:t>T</w:t>
      </w:r>
      <w:r w:rsidR="00A93EC7" w:rsidRPr="00A55E94">
        <w:rPr>
          <w:rFonts w:ascii="Arial" w:hAnsi="Arial" w:cs="Arial"/>
          <w:spacing w:val="-3"/>
          <w:sz w:val="20"/>
        </w:rPr>
        <w:t xml:space="preserve">rades effected through the </w:t>
      </w:r>
      <w:r w:rsidR="0037183B" w:rsidRPr="00A55E94">
        <w:rPr>
          <w:rFonts w:ascii="Arial" w:hAnsi="Arial" w:cs="Arial"/>
          <w:spacing w:val="-3"/>
          <w:sz w:val="20"/>
        </w:rPr>
        <w:fldChar w:fldCharType="begin"/>
      </w:r>
      <w:r w:rsidR="0037183B" w:rsidRPr="00A55E94">
        <w:rPr>
          <w:rFonts w:ascii="Arial" w:hAnsi="Arial" w:cs="Arial"/>
          <w:spacing w:val="-3"/>
          <w:sz w:val="20"/>
        </w:rPr>
        <w:instrText xml:space="preserve"> REF _Ref13572577 \h  \* MERGEFORMAT </w:instrText>
      </w:r>
      <w:r w:rsidR="0037183B" w:rsidRPr="00A55E94">
        <w:rPr>
          <w:rFonts w:ascii="Arial" w:hAnsi="Arial" w:cs="Arial"/>
          <w:spacing w:val="-3"/>
          <w:sz w:val="20"/>
        </w:rPr>
      </w:r>
      <w:r w:rsidR="0037183B" w:rsidRPr="00A55E94">
        <w:rPr>
          <w:rFonts w:ascii="Arial" w:hAnsi="Arial" w:cs="Arial"/>
          <w:spacing w:val="-3"/>
          <w:sz w:val="20"/>
        </w:rPr>
        <w:fldChar w:fldCharType="separate"/>
      </w:r>
      <w:r w:rsidR="0094528E" w:rsidRPr="0094528E">
        <w:rPr>
          <w:rFonts w:ascii="Arial" w:hAnsi="Arial" w:cs="Arial"/>
          <w:color w:val="002060"/>
          <w:sz w:val="20"/>
          <w:u w:val="single"/>
        </w:rPr>
        <w:t>Electronic Order Book (EOB)</w:t>
      </w:r>
      <w:r w:rsidR="0037183B" w:rsidRPr="00A55E94">
        <w:rPr>
          <w:rFonts w:ascii="Arial" w:hAnsi="Arial" w:cs="Arial"/>
          <w:spacing w:val="-3"/>
          <w:sz w:val="20"/>
        </w:rPr>
        <w:fldChar w:fldCharType="end"/>
      </w:r>
    </w:p>
    <w:p w14:paraId="5332F516" w14:textId="7D22ACC2" w:rsidR="00A93EC7" w:rsidRPr="00A55E94" w:rsidRDefault="0037183B"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color w:val="002060"/>
          <w:sz w:val="20"/>
          <w:u w:val="single"/>
        </w:rPr>
      </w:pPr>
      <w:r w:rsidRPr="00A55E94">
        <w:rPr>
          <w:rFonts w:ascii="Arial" w:hAnsi="Arial" w:cs="Arial"/>
          <w:color w:val="002060"/>
          <w:sz w:val="20"/>
          <w:u w:val="single"/>
        </w:rPr>
        <w:fldChar w:fldCharType="begin"/>
      </w:r>
      <w:r w:rsidRPr="00A55E94">
        <w:rPr>
          <w:rFonts w:ascii="Arial" w:hAnsi="Arial" w:cs="Arial"/>
          <w:color w:val="002060"/>
          <w:sz w:val="20"/>
          <w:u w:val="single"/>
        </w:rPr>
        <w:instrText xml:space="preserve"> REF _Ref13572784 \h  \* MERGEFORMAT </w:instrText>
      </w:r>
      <w:r w:rsidRPr="00A55E94">
        <w:rPr>
          <w:rFonts w:ascii="Arial" w:hAnsi="Arial" w:cs="Arial"/>
          <w:color w:val="002060"/>
          <w:sz w:val="20"/>
          <w:u w:val="single"/>
        </w:rPr>
      </w:r>
      <w:r w:rsidRPr="00A55E94">
        <w:rPr>
          <w:rFonts w:ascii="Arial" w:hAnsi="Arial" w:cs="Arial"/>
          <w:color w:val="002060"/>
          <w:sz w:val="20"/>
          <w:u w:val="single"/>
        </w:rPr>
        <w:fldChar w:fldCharType="separate"/>
      </w:r>
      <w:r w:rsidR="0094528E" w:rsidRPr="0094528E">
        <w:rPr>
          <w:rFonts w:ascii="Arial" w:hAnsi="Arial" w:cs="Arial"/>
          <w:color w:val="002060"/>
          <w:sz w:val="20"/>
          <w:u w:val="single"/>
        </w:rPr>
        <w:t>Negotiated Deals</w:t>
      </w:r>
      <w:r w:rsidRPr="00A55E94">
        <w:rPr>
          <w:rFonts w:ascii="Arial" w:hAnsi="Arial" w:cs="Arial"/>
          <w:color w:val="002060"/>
          <w:sz w:val="20"/>
          <w:u w:val="single"/>
        </w:rPr>
        <w:fldChar w:fldCharType="end"/>
      </w:r>
    </w:p>
    <w:p w14:paraId="64F1422E" w14:textId="77777777" w:rsidR="00A93EC7" w:rsidRPr="00490F9F"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D274533" w14:textId="2AE81827" w:rsidR="00A93EC7" w:rsidRPr="00F65832"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hAnsi="Arial" w:cs="Arial"/>
          <w:bCs/>
          <w:i/>
          <w:iCs/>
          <w:spacing w:val="-3"/>
          <w:sz w:val="20"/>
          <w:u w:val="single"/>
        </w:rPr>
      </w:pPr>
      <w:r w:rsidRPr="00490F9F">
        <w:rPr>
          <w:rFonts w:ascii="Arial" w:hAnsi="Arial" w:cs="Arial"/>
          <w:bCs/>
          <w:i/>
          <w:iCs/>
          <w:spacing w:val="-3"/>
          <w:sz w:val="20"/>
          <w:u w:val="single"/>
        </w:rPr>
        <w:t xml:space="preserve">Example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9"/>
        <w:gridCol w:w="1511"/>
        <w:gridCol w:w="1511"/>
        <w:gridCol w:w="1769"/>
        <w:gridCol w:w="1776"/>
        <w:gridCol w:w="2033"/>
      </w:tblGrid>
      <w:tr w:rsidR="00A93EC7" w:rsidRPr="00490F9F" w14:paraId="709963F5" w14:textId="77777777" w:rsidTr="00954678">
        <w:trPr>
          <w:cantSplit/>
          <w:trHeight w:val="20"/>
        </w:trPr>
        <w:tc>
          <w:tcPr>
            <w:tcW w:w="1039" w:type="dxa"/>
            <w:vMerge w:val="restart"/>
            <w:shd w:val="clear" w:color="auto" w:fill="00709E"/>
            <w:noWrap/>
            <w:tcMar>
              <w:top w:w="15" w:type="dxa"/>
              <w:left w:w="15" w:type="dxa"/>
              <w:bottom w:w="0" w:type="dxa"/>
              <w:right w:w="15" w:type="dxa"/>
            </w:tcMar>
            <w:vAlign w:val="center"/>
          </w:tcPr>
          <w:p w14:paraId="6696BFC5" w14:textId="77777777" w:rsidR="00A93EC7" w:rsidRPr="00490F9F" w:rsidRDefault="00A93EC7"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Trade</w:t>
            </w:r>
          </w:p>
        </w:tc>
        <w:tc>
          <w:tcPr>
            <w:tcW w:w="1511" w:type="dxa"/>
            <w:vMerge w:val="restart"/>
            <w:shd w:val="clear" w:color="auto" w:fill="00709E"/>
            <w:noWrap/>
            <w:tcMar>
              <w:top w:w="15" w:type="dxa"/>
              <w:left w:w="15" w:type="dxa"/>
              <w:bottom w:w="0" w:type="dxa"/>
              <w:right w:w="15" w:type="dxa"/>
            </w:tcMar>
            <w:vAlign w:val="center"/>
          </w:tcPr>
          <w:p w14:paraId="4047C75A"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Buyer</w:t>
            </w:r>
          </w:p>
        </w:tc>
        <w:tc>
          <w:tcPr>
            <w:tcW w:w="1511" w:type="dxa"/>
            <w:vMerge w:val="restart"/>
            <w:shd w:val="clear" w:color="auto" w:fill="00709E"/>
            <w:noWrap/>
            <w:tcMar>
              <w:top w:w="15" w:type="dxa"/>
              <w:left w:w="15" w:type="dxa"/>
              <w:bottom w:w="0" w:type="dxa"/>
              <w:right w:w="15" w:type="dxa"/>
            </w:tcMar>
            <w:vAlign w:val="center"/>
          </w:tcPr>
          <w:p w14:paraId="1CB798EC"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Seller</w:t>
            </w:r>
          </w:p>
        </w:tc>
        <w:tc>
          <w:tcPr>
            <w:tcW w:w="1769" w:type="dxa"/>
            <w:vMerge w:val="restart"/>
            <w:shd w:val="clear" w:color="auto" w:fill="00709E"/>
            <w:noWrap/>
            <w:tcMar>
              <w:top w:w="15" w:type="dxa"/>
              <w:left w:w="15" w:type="dxa"/>
              <w:bottom w:w="0" w:type="dxa"/>
              <w:right w:w="15" w:type="dxa"/>
            </w:tcMar>
            <w:vAlign w:val="center"/>
          </w:tcPr>
          <w:p w14:paraId="4A724550"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Platform</w:t>
            </w:r>
          </w:p>
        </w:tc>
        <w:tc>
          <w:tcPr>
            <w:tcW w:w="3809" w:type="dxa"/>
            <w:gridSpan w:val="2"/>
            <w:shd w:val="clear" w:color="auto" w:fill="00709E"/>
            <w:noWrap/>
            <w:tcMar>
              <w:top w:w="15" w:type="dxa"/>
              <w:left w:w="15" w:type="dxa"/>
              <w:bottom w:w="0" w:type="dxa"/>
              <w:right w:w="15" w:type="dxa"/>
            </w:tcMar>
            <w:vAlign w:val="center"/>
          </w:tcPr>
          <w:p w14:paraId="1CD9F504"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trades in bonds</w:t>
            </w:r>
          </w:p>
        </w:tc>
      </w:tr>
      <w:tr w:rsidR="00A93EC7" w:rsidRPr="00490F9F" w14:paraId="1CD70537" w14:textId="77777777" w:rsidTr="00954678">
        <w:trPr>
          <w:cantSplit/>
          <w:trHeight w:val="20"/>
        </w:trPr>
        <w:tc>
          <w:tcPr>
            <w:tcW w:w="1039" w:type="dxa"/>
            <w:vMerge/>
            <w:shd w:val="clear" w:color="auto" w:fill="FFFFCC"/>
            <w:noWrap/>
            <w:tcMar>
              <w:top w:w="15" w:type="dxa"/>
              <w:left w:w="15" w:type="dxa"/>
              <w:bottom w:w="0" w:type="dxa"/>
              <w:right w:w="15" w:type="dxa"/>
            </w:tcMar>
            <w:vAlign w:val="center"/>
          </w:tcPr>
          <w:p w14:paraId="479C8F1C" w14:textId="77777777" w:rsidR="00A93EC7" w:rsidRPr="00490F9F" w:rsidRDefault="00A93EC7" w:rsidP="00D34725">
            <w:pPr>
              <w:spacing w:after="0" w:line="240" w:lineRule="auto"/>
              <w:rPr>
                <w:rFonts w:ascii="Arial" w:hAnsi="Arial" w:cs="Arial"/>
                <w:b/>
                <w:bCs/>
                <w:color w:val="FFFFFF"/>
                <w:sz w:val="16"/>
                <w:szCs w:val="16"/>
              </w:rPr>
            </w:pPr>
          </w:p>
        </w:tc>
        <w:tc>
          <w:tcPr>
            <w:tcW w:w="1511" w:type="dxa"/>
            <w:vMerge/>
            <w:shd w:val="clear" w:color="auto" w:fill="FFFFCC"/>
            <w:noWrap/>
            <w:tcMar>
              <w:top w:w="15" w:type="dxa"/>
              <w:left w:w="15" w:type="dxa"/>
              <w:bottom w:w="0" w:type="dxa"/>
              <w:right w:w="15" w:type="dxa"/>
            </w:tcMar>
            <w:vAlign w:val="center"/>
          </w:tcPr>
          <w:p w14:paraId="5C2B0E98" w14:textId="77777777" w:rsidR="00A93EC7" w:rsidRPr="00490F9F" w:rsidRDefault="00A93EC7" w:rsidP="00D34725">
            <w:pPr>
              <w:spacing w:after="0" w:line="240" w:lineRule="auto"/>
              <w:jc w:val="center"/>
              <w:rPr>
                <w:rFonts w:ascii="Arial" w:hAnsi="Arial" w:cs="Arial"/>
                <w:b/>
                <w:bCs/>
                <w:color w:val="FFFFFF"/>
                <w:sz w:val="16"/>
                <w:szCs w:val="16"/>
              </w:rPr>
            </w:pPr>
          </w:p>
        </w:tc>
        <w:tc>
          <w:tcPr>
            <w:tcW w:w="1511" w:type="dxa"/>
            <w:vMerge/>
            <w:shd w:val="clear" w:color="auto" w:fill="FFFFCC"/>
            <w:noWrap/>
            <w:tcMar>
              <w:top w:w="15" w:type="dxa"/>
              <w:left w:w="15" w:type="dxa"/>
              <w:bottom w:w="0" w:type="dxa"/>
              <w:right w:w="15" w:type="dxa"/>
            </w:tcMar>
            <w:vAlign w:val="center"/>
          </w:tcPr>
          <w:p w14:paraId="7ADBCCDC" w14:textId="77777777" w:rsidR="00A93EC7" w:rsidRPr="00490F9F" w:rsidRDefault="00A93EC7" w:rsidP="00D34725">
            <w:pPr>
              <w:spacing w:after="0" w:line="240" w:lineRule="auto"/>
              <w:jc w:val="center"/>
              <w:rPr>
                <w:rFonts w:ascii="Arial" w:hAnsi="Arial" w:cs="Arial"/>
                <w:b/>
                <w:bCs/>
                <w:color w:val="FFFFFF"/>
                <w:sz w:val="16"/>
                <w:szCs w:val="16"/>
              </w:rPr>
            </w:pPr>
          </w:p>
        </w:tc>
        <w:tc>
          <w:tcPr>
            <w:tcW w:w="1769" w:type="dxa"/>
            <w:vMerge/>
            <w:shd w:val="clear" w:color="auto" w:fill="FFFFCC"/>
            <w:noWrap/>
            <w:tcMar>
              <w:top w:w="15" w:type="dxa"/>
              <w:left w:w="15" w:type="dxa"/>
              <w:bottom w:w="0" w:type="dxa"/>
              <w:right w:w="15" w:type="dxa"/>
            </w:tcMar>
            <w:vAlign w:val="center"/>
          </w:tcPr>
          <w:p w14:paraId="5D4F067C" w14:textId="77777777" w:rsidR="00A93EC7" w:rsidRPr="00490F9F" w:rsidRDefault="00A93EC7" w:rsidP="00D34725">
            <w:pPr>
              <w:spacing w:after="0" w:line="240" w:lineRule="auto"/>
              <w:jc w:val="center"/>
              <w:rPr>
                <w:rFonts w:ascii="Arial" w:hAnsi="Arial" w:cs="Arial"/>
                <w:b/>
                <w:bCs/>
                <w:color w:val="FFFFFF"/>
                <w:sz w:val="16"/>
                <w:szCs w:val="16"/>
              </w:rPr>
            </w:pPr>
          </w:p>
        </w:tc>
        <w:tc>
          <w:tcPr>
            <w:tcW w:w="1776" w:type="dxa"/>
            <w:shd w:val="clear" w:color="auto" w:fill="00709E"/>
            <w:noWrap/>
            <w:tcMar>
              <w:top w:w="15" w:type="dxa"/>
              <w:left w:w="15" w:type="dxa"/>
              <w:bottom w:w="0" w:type="dxa"/>
              <w:right w:w="15" w:type="dxa"/>
            </w:tcMar>
            <w:vAlign w:val="center"/>
          </w:tcPr>
          <w:p w14:paraId="3BB8B8E9" w14:textId="77777777" w:rsidR="00A93EC7" w:rsidRPr="00490F9F" w:rsidRDefault="00A93EC7" w:rsidP="00D34725">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Electronic order book</w:t>
            </w:r>
          </w:p>
        </w:tc>
        <w:tc>
          <w:tcPr>
            <w:tcW w:w="2033" w:type="dxa"/>
            <w:shd w:val="clear" w:color="auto" w:fill="00709E"/>
            <w:noWrap/>
            <w:tcMar>
              <w:top w:w="15" w:type="dxa"/>
              <w:left w:w="15" w:type="dxa"/>
              <w:bottom w:w="0" w:type="dxa"/>
              <w:right w:w="15" w:type="dxa"/>
            </w:tcMar>
            <w:vAlign w:val="center"/>
          </w:tcPr>
          <w:p w14:paraId="389A91C5" w14:textId="77777777" w:rsidR="00A93EC7" w:rsidRPr="00490F9F" w:rsidRDefault="00A93EC7" w:rsidP="00D34725">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Negotiated deals</w:t>
            </w:r>
          </w:p>
        </w:tc>
      </w:tr>
      <w:tr w:rsidR="00A93EC7" w:rsidRPr="00490F9F" w14:paraId="512848B0"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7FEFCFDD"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A</w:t>
            </w:r>
          </w:p>
        </w:tc>
        <w:tc>
          <w:tcPr>
            <w:tcW w:w="1511" w:type="dxa"/>
            <w:noWrap/>
            <w:tcMar>
              <w:top w:w="15" w:type="dxa"/>
              <w:left w:w="15" w:type="dxa"/>
              <w:bottom w:w="0" w:type="dxa"/>
              <w:right w:w="15" w:type="dxa"/>
            </w:tcMar>
            <w:vAlign w:val="center"/>
          </w:tcPr>
          <w:p w14:paraId="2E065D07"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511" w:type="dxa"/>
            <w:noWrap/>
            <w:tcMar>
              <w:top w:w="15" w:type="dxa"/>
              <w:left w:w="15" w:type="dxa"/>
              <w:bottom w:w="0" w:type="dxa"/>
              <w:right w:w="15" w:type="dxa"/>
            </w:tcMar>
            <w:vAlign w:val="center"/>
          </w:tcPr>
          <w:p w14:paraId="452BA63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769" w:type="dxa"/>
            <w:noWrap/>
            <w:tcMar>
              <w:top w:w="15" w:type="dxa"/>
              <w:left w:w="15" w:type="dxa"/>
              <w:bottom w:w="0" w:type="dxa"/>
              <w:right w:w="15" w:type="dxa"/>
            </w:tcMar>
            <w:vAlign w:val="center"/>
          </w:tcPr>
          <w:p w14:paraId="3695640D" w14:textId="06369458" w:rsidR="00A93EC7" w:rsidRPr="00490F9F" w:rsidRDefault="009D246F" w:rsidP="00E91CD3">
            <w:pPr>
              <w:spacing w:after="0" w:line="240" w:lineRule="auto"/>
              <w:rPr>
                <w:rFonts w:ascii="Arial" w:hAnsi="Arial" w:cs="Arial"/>
                <w:sz w:val="16"/>
                <w:szCs w:val="16"/>
              </w:rPr>
            </w:pPr>
            <w:r>
              <w:rPr>
                <w:rFonts w:ascii="Arial" w:hAnsi="Arial" w:cs="Arial"/>
                <w:sz w:val="16"/>
                <w:szCs w:val="16"/>
              </w:rPr>
              <w:t xml:space="preserve">Electronic </w:t>
            </w:r>
            <w:r w:rsidR="00A93EC7" w:rsidRPr="00490F9F">
              <w:rPr>
                <w:rFonts w:ascii="Arial" w:hAnsi="Arial" w:cs="Arial"/>
                <w:sz w:val="16"/>
                <w:szCs w:val="16"/>
              </w:rPr>
              <w:t>Order Book</w:t>
            </w:r>
          </w:p>
        </w:tc>
        <w:tc>
          <w:tcPr>
            <w:tcW w:w="1776" w:type="dxa"/>
            <w:noWrap/>
            <w:tcMar>
              <w:top w:w="15" w:type="dxa"/>
              <w:left w:w="15" w:type="dxa"/>
              <w:bottom w:w="0" w:type="dxa"/>
              <w:right w:w="15" w:type="dxa"/>
            </w:tcMar>
            <w:vAlign w:val="center"/>
          </w:tcPr>
          <w:p w14:paraId="1C2C2429"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033" w:type="dxa"/>
            <w:noWrap/>
            <w:tcMar>
              <w:top w:w="15" w:type="dxa"/>
              <w:left w:w="15" w:type="dxa"/>
              <w:bottom w:w="0" w:type="dxa"/>
              <w:right w:w="15" w:type="dxa"/>
            </w:tcMar>
            <w:vAlign w:val="center"/>
          </w:tcPr>
          <w:p w14:paraId="6473FFC6" w14:textId="77777777" w:rsidR="00A93EC7" w:rsidRPr="00490F9F" w:rsidRDefault="00A93EC7" w:rsidP="00E91CD3">
            <w:pPr>
              <w:spacing w:after="0" w:line="240" w:lineRule="auto"/>
              <w:jc w:val="center"/>
              <w:rPr>
                <w:rFonts w:ascii="Arial" w:hAnsi="Arial" w:cs="Arial"/>
                <w:sz w:val="16"/>
                <w:szCs w:val="16"/>
              </w:rPr>
            </w:pPr>
          </w:p>
        </w:tc>
      </w:tr>
      <w:tr w:rsidR="00A93EC7" w:rsidRPr="00490F9F" w14:paraId="44FEB237"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11796826"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B</w:t>
            </w:r>
          </w:p>
        </w:tc>
        <w:tc>
          <w:tcPr>
            <w:tcW w:w="1511" w:type="dxa"/>
            <w:noWrap/>
            <w:tcMar>
              <w:top w:w="15" w:type="dxa"/>
              <w:left w:w="15" w:type="dxa"/>
              <w:bottom w:w="0" w:type="dxa"/>
              <w:right w:w="15" w:type="dxa"/>
            </w:tcMar>
            <w:vAlign w:val="center"/>
          </w:tcPr>
          <w:p w14:paraId="799D35F8"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511" w:type="dxa"/>
            <w:noWrap/>
            <w:tcMar>
              <w:top w:w="15" w:type="dxa"/>
              <w:left w:w="15" w:type="dxa"/>
              <w:bottom w:w="0" w:type="dxa"/>
              <w:right w:w="15" w:type="dxa"/>
            </w:tcMar>
            <w:vAlign w:val="center"/>
          </w:tcPr>
          <w:p w14:paraId="1F2C65D4"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769" w:type="dxa"/>
            <w:noWrap/>
            <w:tcMar>
              <w:top w:w="15" w:type="dxa"/>
              <w:left w:w="15" w:type="dxa"/>
              <w:bottom w:w="0" w:type="dxa"/>
              <w:right w:w="15" w:type="dxa"/>
            </w:tcMar>
            <w:vAlign w:val="center"/>
          </w:tcPr>
          <w:p w14:paraId="054B3DE0" w14:textId="70466144"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32917545"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114CA911"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2606FDB5"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7A07B4EE"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C</w:t>
            </w:r>
          </w:p>
        </w:tc>
        <w:tc>
          <w:tcPr>
            <w:tcW w:w="1511" w:type="dxa"/>
            <w:noWrap/>
            <w:tcMar>
              <w:top w:w="15" w:type="dxa"/>
              <w:left w:w="15" w:type="dxa"/>
              <w:bottom w:w="0" w:type="dxa"/>
              <w:right w:w="15" w:type="dxa"/>
            </w:tcMar>
            <w:vAlign w:val="center"/>
          </w:tcPr>
          <w:p w14:paraId="14B4FD35"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511" w:type="dxa"/>
            <w:noWrap/>
            <w:tcMar>
              <w:top w:w="15" w:type="dxa"/>
              <w:left w:w="15" w:type="dxa"/>
              <w:bottom w:w="0" w:type="dxa"/>
              <w:right w:w="15" w:type="dxa"/>
            </w:tcMar>
            <w:vAlign w:val="center"/>
          </w:tcPr>
          <w:p w14:paraId="7E629FB5"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Non - Member</w:t>
            </w:r>
          </w:p>
        </w:tc>
        <w:tc>
          <w:tcPr>
            <w:tcW w:w="1769" w:type="dxa"/>
            <w:noWrap/>
            <w:tcMar>
              <w:top w:w="15" w:type="dxa"/>
              <w:left w:w="15" w:type="dxa"/>
              <w:bottom w:w="0" w:type="dxa"/>
              <w:right w:w="15" w:type="dxa"/>
            </w:tcMar>
            <w:vAlign w:val="center"/>
          </w:tcPr>
          <w:p w14:paraId="2895F192" w14:textId="7C5FDDA7"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1B61299C"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798608A8"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4BED15A1"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753FD926"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D</w:t>
            </w:r>
          </w:p>
        </w:tc>
        <w:tc>
          <w:tcPr>
            <w:tcW w:w="1511" w:type="dxa"/>
            <w:noWrap/>
            <w:tcMar>
              <w:top w:w="15" w:type="dxa"/>
              <w:left w:w="15" w:type="dxa"/>
              <w:bottom w:w="0" w:type="dxa"/>
              <w:right w:w="15" w:type="dxa"/>
            </w:tcMar>
            <w:vAlign w:val="center"/>
          </w:tcPr>
          <w:p w14:paraId="2D7A8330"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511" w:type="dxa"/>
            <w:noWrap/>
            <w:tcMar>
              <w:top w:w="15" w:type="dxa"/>
              <w:left w:w="15" w:type="dxa"/>
              <w:bottom w:w="0" w:type="dxa"/>
              <w:right w:w="15" w:type="dxa"/>
            </w:tcMar>
            <w:vAlign w:val="center"/>
          </w:tcPr>
          <w:p w14:paraId="50078FF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769" w:type="dxa"/>
            <w:noWrap/>
            <w:tcMar>
              <w:top w:w="15" w:type="dxa"/>
              <w:left w:w="15" w:type="dxa"/>
              <w:bottom w:w="0" w:type="dxa"/>
              <w:right w:w="15" w:type="dxa"/>
            </w:tcMar>
            <w:vAlign w:val="center"/>
          </w:tcPr>
          <w:p w14:paraId="4D2BEF05" w14:textId="63FC1A46" w:rsidR="00A93EC7" w:rsidRPr="00490F9F" w:rsidRDefault="009D246F" w:rsidP="00E91CD3">
            <w:pPr>
              <w:spacing w:after="0" w:line="240" w:lineRule="auto"/>
              <w:rPr>
                <w:rFonts w:ascii="Arial" w:hAnsi="Arial" w:cs="Arial"/>
                <w:sz w:val="16"/>
                <w:szCs w:val="16"/>
              </w:rPr>
            </w:pPr>
            <w:r>
              <w:rPr>
                <w:rFonts w:ascii="Arial" w:hAnsi="Arial" w:cs="Arial"/>
                <w:sz w:val="16"/>
                <w:szCs w:val="16"/>
              </w:rPr>
              <w:t xml:space="preserve">Electronic </w:t>
            </w:r>
            <w:r w:rsidR="00A93EC7" w:rsidRPr="00490F9F">
              <w:rPr>
                <w:rFonts w:ascii="Arial" w:hAnsi="Arial" w:cs="Arial"/>
                <w:sz w:val="16"/>
                <w:szCs w:val="16"/>
              </w:rPr>
              <w:t>Order Book</w:t>
            </w:r>
          </w:p>
        </w:tc>
        <w:tc>
          <w:tcPr>
            <w:tcW w:w="1776" w:type="dxa"/>
            <w:noWrap/>
            <w:tcMar>
              <w:top w:w="15" w:type="dxa"/>
              <w:left w:w="15" w:type="dxa"/>
              <w:bottom w:w="0" w:type="dxa"/>
              <w:right w:w="15" w:type="dxa"/>
            </w:tcMar>
            <w:vAlign w:val="center"/>
          </w:tcPr>
          <w:p w14:paraId="297D744D"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033" w:type="dxa"/>
            <w:noWrap/>
            <w:tcMar>
              <w:top w:w="15" w:type="dxa"/>
              <w:left w:w="15" w:type="dxa"/>
              <w:bottom w:w="0" w:type="dxa"/>
              <w:right w:w="15" w:type="dxa"/>
            </w:tcMar>
            <w:vAlign w:val="center"/>
          </w:tcPr>
          <w:p w14:paraId="4CE36D83" w14:textId="77777777" w:rsidR="00A93EC7" w:rsidRPr="00490F9F" w:rsidRDefault="00A93EC7" w:rsidP="00E91CD3">
            <w:pPr>
              <w:spacing w:after="0" w:line="240" w:lineRule="auto"/>
              <w:jc w:val="center"/>
              <w:rPr>
                <w:rFonts w:ascii="Arial" w:hAnsi="Arial" w:cs="Arial"/>
                <w:sz w:val="16"/>
                <w:szCs w:val="16"/>
              </w:rPr>
            </w:pPr>
          </w:p>
        </w:tc>
      </w:tr>
      <w:tr w:rsidR="00A93EC7" w:rsidRPr="00490F9F" w14:paraId="43B15AF1"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61638F90"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E</w:t>
            </w:r>
          </w:p>
        </w:tc>
        <w:tc>
          <w:tcPr>
            <w:tcW w:w="1511" w:type="dxa"/>
            <w:noWrap/>
            <w:tcMar>
              <w:top w:w="15" w:type="dxa"/>
              <w:left w:w="15" w:type="dxa"/>
              <w:bottom w:w="0" w:type="dxa"/>
              <w:right w:w="15" w:type="dxa"/>
            </w:tcMar>
            <w:vAlign w:val="center"/>
          </w:tcPr>
          <w:p w14:paraId="43876B7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511" w:type="dxa"/>
            <w:noWrap/>
            <w:tcMar>
              <w:top w:w="15" w:type="dxa"/>
              <w:left w:w="15" w:type="dxa"/>
              <w:bottom w:w="0" w:type="dxa"/>
              <w:right w:w="15" w:type="dxa"/>
            </w:tcMar>
            <w:vAlign w:val="center"/>
          </w:tcPr>
          <w:p w14:paraId="3D3394F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769" w:type="dxa"/>
            <w:noWrap/>
            <w:tcMar>
              <w:top w:w="15" w:type="dxa"/>
              <w:left w:w="15" w:type="dxa"/>
              <w:bottom w:w="0" w:type="dxa"/>
              <w:right w:w="15" w:type="dxa"/>
            </w:tcMar>
            <w:vAlign w:val="center"/>
          </w:tcPr>
          <w:p w14:paraId="7EE7B467" w14:textId="1566B75B"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1A00D559"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2D05699C"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01068C0D"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05FA9E28"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F</w:t>
            </w:r>
          </w:p>
        </w:tc>
        <w:tc>
          <w:tcPr>
            <w:tcW w:w="1511" w:type="dxa"/>
            <w:noWrap/>
            <w:tcMar>
              <w:top w:w="15" w:type="dxa"/>
              <w:left w:w="15" w:type="dxa"/>
              <w:bottom w:w="0" w:type="dxa"/>
              <w:right w:w="15" w:type="dxa"/>
            </w:tcMar>
            <w:vAlign w:val="center"/>
          </w:tcPr>
          <w:p w14:paraId="7A920665"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511" w:type="dxa"/>
            <w:noWrap/>
            <w:tcMar>
              <w:top w:w="15" w:type="dxa"/>
              <w:left w:w="15" w:type="dxa"/>
              <w:bottom w:w="0" w:type="dxa"/>
              <w:right w:w="15" w:type="dxa"/>
            </w:tcMar>
            <w:vAlign w:val="center"/>
          </w:tcPr>
          <w:p w14:paraId="4F0C54CA"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Non - Member</w:t>
            </w:r>
          </w:p>
        </w:tc>
        <w:tc>
          <w:tcPr>
            <w:tcW w:w="1769" w:type="dxa"/>
            <w:noWrap/>
            <w:tcMar>
              <w:top w:w="15" w:type="dxa"/>
              <w:left w:w="15" w:type="dxa"/>
              <w:bottom w:w="0" w:type="dxa"/>
              <w:right w:w="15" w:type="dxa"/>
            </w:tcMar>
            <w:vAlign w:val="center"/>
          </w:tcPr>
          <w:p w14:paraId="271DAC37" w14:textId="29027146"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386483DC"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03236C83"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576A767B" w14:textId="77777777" w:rsidTr="00954678">
        <w:trPr>
          <w:cantSplit/>
          <w:trHeight w:val="20"/>
        </w:trPr>
        <w:tc>
          <w:tcPr>
            <w:tcW w:w="5830" w:type="dxa"/>
            <w:gridSpan w:val="4"/>
            <w:noWrap/>
            <w:tcMar>
              <w:top w:w="15" w:type="dxa"/>
              <w:left w:w="15" w:type="dxa"/>
              <w:bottom w:w="0" w:type="dxa"/>
              <w:right w:w="15" w:type="dxa"/>
            </w:tcMar>
            <w:vAlign w:val="bottom"/>
          </w:tcPr>
          <w:p w14:paraId="73377383" w14:textId="77777777" w:rsidR="00A93EC7" w:rsidRPr="00490F9F" w:rsidRDefault="00A93EC7" w:rsidP="00E91CD3">
            <w:pPr>
              <w:spacing w:after="0" w:line="240" w:lineRule="auto"/>
              <w:rPr>
                <w:rFonts w:ascii="Arial" w:hAnsi="Arial" w:cs="Arial"/>
                <w:b/>
                <w:sz w:val="16"/>
                <w:szCs w:val="16"/>
              </w:rPr>
            </w:pPr>
            <w:r w:rsidRPr="00490F9F">
              <w:rPr>
                <w:rFonts w:ascii="Arial" w:hAnsi="Arial" w:cs="Arial"/>
                <w:b/>
                <w:sz w:val="16"/>
                <w:szCs w:val="16"/>
              </w:rPr>
              <w:t>Sub-totals</w:t>
            </w:r>
          </w:p>
        </w:tc>
        <w:tc>
          <w:tcPr>
            <w:tcW w:w="1776" w:type="dxa"/>
            <w:noWrap/>
            <w:tcMar>
              <w:top w:w="15" w:type="dxa"/>
              <w:left w:w="15" w:type="dxa"/>
              <w:bottom w:w="0" w:type="dxa"/>
              <w:right w:w="15" w:type="dxa"/>
            </w:tcMar>
            <w:vAlign w:val="center"/>
          </w:tcPr>
          <w:p w14:paraId="3157608C"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2033" w:type="dxa"/>
            <w:noWrap/>
            <w:tcMar>
              <w:top w:w="15" w:type="dxa"/>
              <w:left w:w="15" w:type="dxa"/>
              <w:bottom w:w="0" w:type="dxa"/>
              <w:right w:w="15" w:type="dxa"/>
            </w:tcMar>
            <w:vAlign w:val="center"/>
          </w:tcPr>
          <w:p w14:paraId="001F9A2E"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4</w:t>
            </w:r>
          </w:p>
        </w:tc>
      </w:tr>
      <w:tr w:rsidR="00A93EC7" w:rsidRPr="00490F9F" w14:paraId="0B88F062" w14:textId="77777777" w:rsidTr="00954678">
        <w:trPr>
          <w:cantSplit/>
          <w:trHeight w:val="20"/>
        </w:trPr>
        <w:tc>
          <w:tcPr>
            <w:tcW w:w="5830" w:type="dxa"/>
            <w:gridSpan w:val="4"/>
            <w:noWrap/>
            <w:tcMar>
              <w:top w:w="15" w:type="dxa"/>
              <w:left w:w="15" w:type="dxa"/>
              <w:bottom w:w="0" w:type="dxa"/>
              <w:right w:w="15" w:type="dxa"/>
            </w:tcMar>
            <w:vAlign w:val="center"/>
          </w:tcPr>
          <w:p w14:paraId="2A502720"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Total</w:t>
            </w:r>
          </w:p>
        </w:tc>
        <w:tc>
          <w:tcPr>
            <w:tcW w:w="3809" w:type="dxa"/>
            <w:gridSpan w:val="2"/>
            <w:noWrap/>
            <w:tcMar>
              <w:top w:w="15" w:type="dxa"/>
              <w:left w:w="15" w:type="dxa"/>
              <w:bottom w:w="0" w:type="dxa"/>
              <w:right w:w="15" w:type="dxa"/>
            </w:tcMar>
            <w:vAlign w:val="bottom"/>
          </w:tcPr>
          <w:p w14:paraId="5FF9C1B4"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6</w:t>
            </w:r>
          </w:p>
        </w:tc>
      </w:tr>
    </w:tbl>
    <w:p w14:paraId="3A8FF3F0" w14:textId="5AF7DBEA" w:rsidR="00A93EC7"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E3D5DE" w14:textId="36583F45" w:rsidR="00DB224C" w:rsidRPr="004A62B7" w:rsidRDefault="00DB224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(Domestic private sector)</w:t>
      </w:r>
    </w:p>
    <w:p w14:paraId="00908749" w14:textId="72800A89" w:rsidR="00DB224C" w:rsidRPr="004A62B7" w:rsidRDefault="00DB224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(Domestic public sector)</w:t>
      </w:r>
    </w:p>
    <w:p w14:paraId="43A2A2A2" w14:textId="4C6879DE" w:rsidR="00DB224C" w:rsidRPr="004A62B7" w:rsidRDefault="00DB224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(Foreign)</w:t>
      </w:r>
    </w:p>
    <w:p w14:paraId="0707C6AE" w14:textId="36BE0E3B" w:rsidR="00DB224C" w:rsidRDefault="00DB224C" w:rsidP="00E91CD3">
      <w:pPr>
        <w:spacing w:after="0" w:line="240" w:lineRule="auto"/>
        <w:rPr>
          <w:rFonts w:ascii="Arial" w:hAnsi="Arial" w:cs="Arial"/>
          <w:bCs/>
          <w:i/>
          <w:iCs/>
          <w:spacing w:val="-3"/>
          <w:sz w:val="20"/>
          <w:u w:val="single"/>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(Total)</w:t>
      </w:r>
    </w:p>
    <w:p w14:paraId="3434B84A" w14:textId="77777777" w:rsidR="00F03FAB" w:rsidRPr="00331296" w:rsidRDefault="00F03FAB" w:rsidP="00E91CD3">
      <w:pPr>
        <w:spacing w:after="0" w:line="240" w:lineRule="auto"/>
        <w:rPr>
          <w:rFonts w:ascii="Arial" w:hAnsi="Arial" w:cs="Arial"/>
          <w:bCs/>
          <w:i/>
          <w:iCs/>
          <w:spacing w:val="-3"/>
          <w:sz w:val="20"/>
          <w:u w:val="single"/>
        </w:rPr>
      </w:pPr>
    </w:p>
    <w:p w14:paraId="581F5A6C" w14:textId="1C48F897" w:rsidR="006346C3" w:rsidRPr="00331296"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t xml:space="preserve">Definition </w:t>
      </w:r>
    </w:p>
    <w:p w14:paraId="45DCD539" w14:textId="594D359F"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total number of bond issuers represents the number of organisations which issued the fixed-income instruments listed on the exchange. These issuers are </w:t>
      </w:r>
      <w:r w:rsidR="00AF1C3F" w:rsidRPr="00490F9F">
        <w:rPr>
          <w:rFonts w:ascii="Arial" w:hAnsi="Arial" w:cs="Arial"/>
          <w:spacing w:val="-3"/>
          <w:sz w:val="20"/>
        </w:rPr>
        <w:t xml:space="preserve">split into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BF5336" w:rsidRPr="00BF5336">
        <w:rPr>
          <w:rFonts w:ascii="Arial" w:hAnsi="Arial" w:cs="Arial"/>
          <w:spacing w:val="-3"/>
          <w:sz w:val="20"/>
        </w:rPr>
        <w:t xml:space="preserve"> issuers</w:t>
      </w:r>
      <w:r w:rsidR="00BF5336">
        <w:rPr>
          <w:rFonts w:ascii="Arial" w:hAnsi="Arial" w:cs="Arial"/>
          <w:spacing w:val="-3"/>
          <w:sz w:val="20"/>
        </w:rPr>
        <w:t>,</w:t>
      </w:r>
      <w:r w:rsidR="00832339">
        <w:rPr>
          <w:rFonts w:ascii="Arial" w:hAnsi="Arial" w:cs="Arial"/>
          <w:spacing w:val="-3"/>
          <w:sz w:val="20"/>
        </w:rPr>
        <w:t xml:space="preserve"> </w:t>
      </w:r>
      <w:r w:rsidR="00832339" w:rsidRPr="00245D43">
        <w:rPr>
          <w:rFonts w:ascii="Arial" w:hAnsi="Arial" w:cs="Arial"/>
          <w:color w:val="002060"/>
          <w:spacing w:val="-3"/>
          <w:sz w:val="20"/>
          <w:szCs w:val="20"/>
          <w:u w:val="single"/>
        </w:rPr>
        <w:fldChar w:fldCharType="begin"/>
      </w:r>
      <w:r w:rsidR="00832339" w:rsidRPr="00245D43">
        <w:rPr>
          <w:rFonts w:ascii="Arial" w:hAnsi="Arial" w:cs="Arial"/>
          <w:color w:val="002060"/>
          <w:spacing w:val="-3"/>
          <w:sz w:val="20"/>
          <w:szCs w:val="20"/>
          <w:u w:val="single"/>
        </w:rPr>
        <w:instrText xml:space="preserve"> REF _Ref13652166 \h  \* MERGEFORMAT </w:instrText>
      </w:r>
      <w:r w:rsidR="00832339" w:rsidRPr="00245D43">
        <w:rPr>
          <w:rFonts w:ascii="Arial" w:hAnsi="Arial" w:cs="Arial"/>
          <w:color w:val="002060"/>
          <w:spacing w:val="-3"/>
          <w:sz w:val="20"/>
          <w:szCs w:val="20"/>
          <w:u w:val="single"/>
        </w:rPr>
      </w:r>
      <w:r w:rsidR="00832339"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832339" w:rsidRPr="00245D43">
        <w:rPr>
          <w:rFonts w:ascii="Arial" w:hAnsi="Arial" w:cs="Arial"/>
          <w:color w:val="002060"/>
          <w:spacing w:val="-3"/>
          <w:sz w:val="20"/>
          <w:szCs w:val="20"/>
          <w:u w:val="single"/>
        </w:rPr>
        <w:fldChar w:fldCharType="end"/>
      </w:r>
      <w:r w:rsidR="00832339">
        <w:rPr>
          <w:rFonts w:ascii="Arial" w:hAnsi="Arial" w:cs="Arial"/>
          <w:color w:val="002060"/>
          <w:spacing w:val="-3"/>
          <w:sz w:val="20"/>
          <w:szCs w:val="20"/>
          <w:u w:val="single"/>
        </w:rPr>
        <w:t xml:space="preserve"> </w:t>
      </w:r>
      <w:r w:rsidR="00BF5336">
        <w:rPr>
          <w:rFonts w:ascii="Arial" w:hAnsi="Arial" w:cs="Arial"/>
          <w:spacing w:val="-3"/>
          <w:sz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proofErr w:type="gramStart"/>
      <w:r w:rsidR="0094528E" w:rsidRPr="0094528E">
        <w:rPr>
          <w:rFonts w:ascii="Arial" w:hAnsi="Arial" w:cs="Arial"/>
          <w:color w:val="002060"/>
          <w:sz w:val="20"/>
          <w:szCs w:val="20"/>
          <w:u w:val="single"/>
        </w:rPr>
        <w:t>Foreign</w:t>
      </w:r>
      <w:proofErr w:type="gramEnd"/>
      <w:r w:rsidR="0094528E" w:rsidRPr="0094528E">
        <w:rPr>
          <w:rFonts w:ascii="Arial" w:hAnsi="Arial" w:cs="Arial"/>
          <w:color w:val="002060"/>
          <w:sz w:val="20"/>
          <w:szCs w:val="20"/>
          <w:u w:val="single"/>
        </w:rPr>
        <w:t xml:space="preserve"> bonds</w:t>
      </w:r>
      <w:r w:rsidR="00BF5336" w:rsidRPr="00BF5336">
        <w:rPr>
          <w:rFonts w:ascii="Arial" w:hAnsi="Arial" w:cs="Arial"/>
          <w:color w:val="002060"/>
          <w:sz w:val="20"/>
          <w:szCs w:val="20"/>
          <w:u w:val="single"/>
        </w:rPr>
        <w:fldChar w:fldCharType="end"/>
      </w:r>
      <w:r w:rsidR="00BF5336" w:rsidRPr="00BF5336">
        <w:rPr>
          <w:rFonts w:ascii="Arial" w:hAnsi="Arial" w:cs="Arial"/>
          <w:spacing w:val="-3"/>
          <w:sz w:val="20"/>
        </w:rPr>
        <w:t xml:space="preserve"> issuers</w:t>
      </w:r>
      <w:r>
        <w:rPr>
          <w:rFonts w:ascii="Arial" w:hAnsi="Arial" w:cs="Arial"/>
          <w:spacing w:val="-3"/>
          <w:sz w:val="20"/>
        </w:rPr>
        <w:t xml:space="preserve">. </w:t>
      </w:r>
    </w:p>
    <w:p w14:paraId="70601654"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3ECCC71" w14:textId="13750F8A" w:rsidR="006346C3"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w:hAnsi="Arial" w:cs="Arial"/>
          <w:spacing w:val="-3"/>
          <w:sz w:val="20"/>
        </w:rPr>
      </w:pPr>
      <w:r>
        <w:rPr>
          <w:rFonts w:ascii="Arial" w:hAnsi="Arial" w:cs="Arial"/>
          <w:spacing w:val="-3"/>
          <w:sz w:val="20"/>
        </w:rPr>
        <w:t>Domestic private</w:t>
      </w:r>
      <w:r w:rsidR="00C37D7D">
        <w:rPr>
          <w:rFonts w:ascii="Arial" w:hAnsi="Arial" w:cs="Arial"/>
          <w:spacing w:val="-3"/>
          <w:sz w:val="20"/>
        </w:rPr>
        <w:t xml:space="preserve"> sector</w:t>
      </w:r>
      <w:r>
        <w:rPr>
          <w:rFonts w:ascii="Arial" w:hAnsi="Arial" w:cs="Arial"/>
          <w:spacing w:val="-3"/>
          <w:sz w:val="20"/>
        </w:rPr>
        <w:t xml:space="preserve"> bonds include corporate bonds, bonds issued by domestic banks and financial institutions;</w:t>
      </w:r>
    </w:p>
    <w:p w14:paraId="6E6BD1A1" w14:textId="1E00093F" w:rsidR="006346C3"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w:hAnsi="Arial" w:cs="Arial"/>
          <w:spacing w:val="-3"/>
          <w:sz w:val="20"/>
        </w:rPr>
      </w:pPr>
      <w:r>
        <w:rPr>
          <w:rFonts w:ascii="Arial" w:hAnsi="Arial" w:cs="Arial"/>
          <w:spacing w:val="-3"/>
          <w:sz w:val="20"/>
        </w:rPr>
        <w:t>Domestic public</w:t>
      </w:r>
      <w:r w:rsidR="00C37D7D">
        <w:rPr>
          <w:rFonts w:ascii="Arial" w:hAnsi="Arial" w:cs="Arial"/>
          <w:spacing w:val="-3"/>
          <w:sz w:val="20"/>
        </w:rPr>
        <w:t xml:space="preserve"> sector</w:t>
      </w:r>
      <w:r>
        <w:rPr>
          <w:rFonts w:ascii="Arial" w:hAnsi="Arial" w:cs="Arial"/>
          <w:spacing w:val="-3"/>
          <w:sz w:val="20"/>
        </w:rPr>
        <w:t xml:space="preserve"> bonds include government / state-owned organizations’ bonds and bills, state-related institutions whose instruments are guaranteed by the state, and municipal bonds;</w:t>
      </w:r>
    </w:p>
    <w:p w14:paraId="395611BD" w14:textId="406F7638" w:rsidR="006346C3"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w:hAnsi="Arial" w:cs="Arial"/>
          <w:spacing w:val="-3"/>
          <w:sz w:val="20"/>
        </w:rPr>
      </w:pPr>
      <w:r>
        <w:rPr>
          <w:rFonts w:ascii="Arial" w:hAnsi="Arial" w:cs="Arial"/>
          <w:spacing w:val="-3"/>
          <w:sz w:val="20"/>
        </w:rPr>
        <w:t>Foreign bonds listed on the exchange are bonds issued by non-resident institutions: foreign governments, banks, financial institutions, supranational organisations (</w:t>
      </w:r>
      <w:r w:rsidR="00954678">
        <w:rPr>
          <w:rFonts w:ascii="Arial" w:hAnsi="Arial" w:cs="Arial"/>
          <w:spacing w:val="-3"/>
          <w:sz w:val="20"/>
        </w:rPr>
        <w:t xml:space="preserve">e.g. </w:t>
      </w:r>
      <w:r>
        <w:rPr>
          <w:rFonts w:ascii="Arial" w:hAnsi="Arial" w:cs="Arial"/>
          <w:spacing w:val="-3"/>
          <w:sz w:val="20"/>
        </w:rPr>
        <w:t xml:space="preserve">EIB, EBRD, World Bank). They also include </w:t>
      </w:r>
      <w:proofErr w:type="spellStart"/>
      <w:r>
        <w:rPr>
          <w:rFonts w:ascii="Arial" w:hAnsi="Arial" w:cs="Arial"/>
          <w:spacing w:val="-3"/>
          <w:sz w:val="20"/>
        </w:rPr>
        <w:t>eurobonds</w:t>
      </w:r>
      <w:proofErr w:type="spellEnd"/>
      <w:r>
        <w:rPr>
          <w:rFonts w:ascii="Arial" w:hAnsi="Arial" w:cs="Arial"/>
          <w:spacing w:val="-3"/>
          <w:sz w:val="20"/>
        </w:rPr>
        <w:t xml:space="preserve"> (bonds issued under a law of a state different from the one of the issuer and placed in a foreign country inside the euro zone).</w:t>
      </w:r>
    </w:p>
    <w:p w14:paraId="35F34A11" w14:textId="77777777"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4D01CE5" w14:textId="651B66E0"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An issuer may list bonds with different maturities, but the total number of issuers is unchanged.</w:t>
      </w:r>
    </w:p>
    <w:p w14:paraId="67468979"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547C901" w14:textId="77777777" w:rsidR="00B56615" w:rsidRDefault="00B56615">
      <w:pPr>
        <w:rPr>
          <w:rFonts w:ascii="Arial" w:hAnsi="Arial" w:cs="Arial"/>
          <w:bCs/>
          <w:i/>
          <w:iCs/>
          <w:spacing w:val="-3"/>
          <w:sz w:val="20"/>
          <w:u w:val="single"/>
        </w:rPr>
      </w:pPr>
      <w:r>
        <w:rPr>
          <w:rFonts w:ascii="Arial" w:hAnsi="Arial" w:cs="Arial"/>
          <w:bCs/>
          <w:i/>
          <w:iCs/>
          <w:spacing w:val="-3"/>
          <w:sz w:val="20"/>
          <w:u w:val="single"/>
        </w:rPr>
        <w:br w:type="page"/>
      </w:r>
    </w:p>
    <w:p w14:paraId="2F959230" w14:textId="7EC63763" w:rsidR="006346C3" w:rsidRPr="00331296"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lastRenderedPageBreak/>
        <w:t xml:space="preserve">Example </w:t>
      </w: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26"/>
        <w:gridCol w:w="1807"/>
        <w:gridCol w:w="2007"/>
        <w:gridCol w:w="2007"/>
      </w:tblGrid>
      <w:tr w:rsidR="009D246F" w14:paraId="20B67E3E" w14:textId="6F72D45F" w:rsidTr="00F505A1">
        <w:trPr>
          <w:trHeight w:val="385"/>
        </w:trPr>
        <w:tc>
          <w:tcPr>
            <w:tcW w:w="1819"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1815F9C8" w14:textId="77777777" w:rsidR="009D246F" w:rsidRDefault="009D246F" w:rsidP="00E91CD3">
            <w:pPr>
              <w:spacing w:after="0" w:line="240" w:lineRule="auto"/>
              <w:rPr>
                <w:rFonts w:ascii="Arial" w:hAnsi="Arial" w:cs="Arial"/>
                <w:b/>
                <w:color w:val="FFFFFF"/>
                <w:sz w:val="16"/>
                <w:szCs w:val="16"/>
              </w:rPr>
            </w:pPr>
            <w:r>
              <w:rPr>
                <w:rFonts w:ascii="Arial" w:hAnsi="Arial" w:cs="Arial"/>
                <w:b/>
                <w:color w:val="FFFFFF"/>
                <w:sz w:val="16"/>
                <w:szCs w:val="16"/>
              </w:rPr>
              <w:t>Bond issuer</w:t>
            </w:r>
          </w:p>
        </w:tc>
        <w:tc>
          <w:tcPr>
            <w:tcW w:w="1726"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1E1C25EE" w14:textId="77777777"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Number of domestic public bond issuers</w:t>
            </w:r>
          </w:p>
        </w:tc>
        <w:tc>
          <w:tcPr>
            <w:tcW w:w="1807"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38E7DEBF" w14:textId="77777777"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Number of domestic private bond issuers</w:t>
            </w:r>
          </w:p>
        </w:tc>
        <w:tc>
          <w:tcPr>
            <w:tcW w:w="2007"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32592393" w14:textId="77777777"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Number of foreign bond issuers</w:t>
            </w:r>
          </w:p>
        </w:tc>
        <w:tc>
          <w:tcPr>
            <w:tcW w:w="2007" w:type="dxa"/>
            <w:tcBorders>
              <w:top w:val="single" w:sz="4" w:space="0" w:color="auto"/>
              <w:left w:val="single" w:sz="4" w:space="0" w:color="auto"/>
              <w:bottom w:val="single" w:sz="4" w:space="0" w:color="auto"/>
              <w:right w:val="single" w:sz="4" w:space="0" w:color="auto"/>
            </w:tcBorders>
            <w:shd w:val="clear" w:color="auto" w:fill="00709E"/>
          </w:tcPr>
          <w:p w14:paraId="234A3447" w14:textId="7D0740A3"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Total</w:t>
            </w:r>
          </w:p>
        </w:tc>
      </w:tr>
      <w:tr w:rsidR="009D246F" w14:paraId="53BBBDDE" w14:textId="70C453B1" w:rsidTr="00F505A1">
        <w:trPr>
          <w:trHeight w:val="385"/>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1415E113"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 xml:space="preserve">Bond issuer of domestic public company A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668537F"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14:paraId="0B57EE74"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7639E46"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6CBAD94" w14:textId="1A47A600"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2E40F136" w14:textId="3ECEDF68" w:rsidTr="00F505A1">
        <w:trPr>
          <w:trHeight w:val="400"/>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646FD0B4"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 xml:space="preserve">Bond issuer of domestic public company B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A6682D"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14:paraId="7AF75791"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DE751FA"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15D6E0D" w14:textId="49B82059"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25E64D77" w14:textId="1853B753"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0C72752B"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Bond issuer of domestic private C</w:t>
            </w:r>
          </w:p>
        </w:tc>
        <w:tc>
          <w:tcPr>
            <w:tcW w:w="1726" w:type="dxa"/>
            <w:tcBorders>
              <w:top w:val="single" w:sz="4" w:space="0" w:color="auto"/>
              <w:left w:val="single" w:sz="4" w:space="0" w:color="auto"/>
              <w:bottom w:val="single" w:sz="4" w:space="0" w:color="auto"/>
              <w:right w:val="single" w:sz="4" w:space="0" w:color="auto"/>
            </w:tcBorders>
            <w:vAlign w:val="center"/>
          </w:tcPr>
          <w:p w14:paraId="1E05B037" w14:textId="77777777" w:rsidR="009D246F" w:rsidRDefault="009D246F" w:rsidP="00E91CD3">
            <w:pPr>
              <w:spacing w:after="0" w:line="240" w:lineRule="auto"/>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5B45ED4B"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tcPr>
          <w:p w14:paraId="24AD42BF"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EACB362" w14:textId="37BDC1B6"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326B80DB" w14:textId="226A9457"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0F368AED"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Bond issuer of foreign company A</w:t>
            </w:r>
          </w:p>
        </w:tc>
        <w:tc>
          <w:tcPr>
            <w:tcW w:w="1726" w:type="dxa"/>
            <w:tcBorders>
              <w:top w:val="single" w:sz="4" w:space="0" w:color="auto"/>
              <w:left w:val="single" w:sz="4" w:space="0" w:color="auto"/>
              <w:bottom w:val="single" w:sz="4" w:space="0" w:color="auto"/>
              <w:right w:val="single" w:sz="4" w:space="0" w:color="auto"/>
            </w:tcBorders>
            <w:vAlign w:val="center"/>
          </w:tcPr>
          <w:p w14:paraId="3A7C5E85" w14:textId="77777777" w:rsidR="009D246F" w:rsidRDefault="009D246F" w:rsidP="00E91CD3">
            <w:pPr>
              <w:spacing w:after="0" w:line="240" w:lineRule="auto"/>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tcPr>
          <w:p w14:paraId="5042E58A"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hideMark/>
          </w:tcPr>
          <w:p w14:paraId="316CB514"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tcPr>
          <w:p w14:paraId="6DC989FF" w14:textId="05BD329F"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5AE16087" w14:textId="67BFE4E9"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613B1B10" w14:textId="77777777" w:rsidR="009D246F" w:rsidRDefault="009D246F" w:rsidP="00E91CD3">
            <w:pPr>
              <w:spacing w:after="0" w:line="240" w:lineRule="auto"/>
              <w:rPr>
                <w:rFonts w:ascii="Arial" w:hAnsi="Arial" w:cs="Arial"/>
                <w:b/>
                <w:color w:val="FFFFFF"/>
                <w:sz w:val="16"/>
                <w:szCs w:val="16"/>
              </w:rPr>
            </w:pPr>
            <w:r>
              <w:rPr>
                <w:rFonts w:ascii="Arial" w:hAnsi="Arial" w:cs="Arial"/>
                <w:b/>
                <w:color w:val="FFFFFF"/>
                <w:sz w:val="16"/>
                <w:szCs w:val="16"/>
              </w:rPr>
              <w:t>Bond issuer of foreign company B</w:t>
            </w:r>
          </w:p>
        </w:tc>
        <w:tc>
          <w:tcPr>
            <w:tcW w:w="1726" w:type="dxa"/>
            <w:tcBorders>
              <w:top w:val="single" w:sz="4" w:space="0" w:color="auto"/>
              <w:left w:val="single" w:sz="4" w:space="0" w:color="auto"/>
              <w:bottom w:val="single" w:sz="4" w:space="0" w:color="auto"/>
              <w:right w:val="single" w:sz="4" w:space="0" w:color="auto"/>
            </w:tcBorders>
            <w:vAlign w:val="center"/>
          </w:tcPr>
          <w:p w14:paraId="338A15EC" w14:textId="77777777" w:rsidR="009D246F" w:rsidRDefault="009D246F" w:rsidP="00E91CD3">
            <w:pPr>
              <w:spacing w:after="0" w:line="240" w:lineRule="auto"/>
              <w:jc w:val="center"/>
              <w:rPr>
                <w:rFonts w:ascii="Arial" w:hAnsi="Arial" w:cs="Arial"/>
                <w:b/>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tcPr>
          <w:p w14:paraId="5377C1CB" w14:textId="77777777" w:rsidR="009D246F" w:rsidRDefault="009D246F" w:rsidP="00E91CD3">
            <w:pPr>
              <w:spacing w:after="0" w:line="240" w:lineRule="auto"/>
              <w:jc w:val="center"/>
              <w:rPr>
                <w:rFonts w:ascii="Arial" w:hAnsi="Arial" w:cs="Arial"/>
                <w:b/>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hideMark/>
          </w:tcPr>
          <w:p w14:paraId="34527864"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tcPr>
          <w:p w14:paraId="47BDA06D" w14:textId="464BA686"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607CF5D7" w14:textId="50C05102"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134110D5" w14:textId="77777777" w:rsidR="009D246F" w:rsidRDefault="009D246F" w:rsidP="00E91CD3">
            <w:pPr>
              <w:spacing w:after="0" w:line="240" w:lineRule="auto"/>
              <w:rPr>
                <w:rFonts w:ascii="Arial" w:hAnsi="Arial" w:cs="Arial"/>
                <w:b/>
                <w:color w:val="FFFFFF"/>
                <w:sz w:val="16"/>
                <w:szCs w:val="16"/>
              </w:rPr>
            </w:pPr>
            <w:r>
              <w:rPr>
                <w:rFonts w:ascii="Arial" w:hAnsi="Arial" w:cs="Arial"/>
                <w:b/>
                <w:color w:val="FFFFFF"/>
                <w:sz w:val="16"/>
                <w:szCs w:val="16"/>
              </w:rPr>
              <w:t>Domestic / Foreign sub-totals</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22F8389" w14:textId="77777777" w:rsidR="009D246F" w:rsidRDefault="009D246F" w:rsidP="00E91CD3">
            <w:pPr>
              <w:spacing w:after="0" w:line="240" w:lineRule="auto"/>
              <w:jc w:val="center"/>
              <w:rPr>
                <w:rFonts w:ascii="Arial" w:hAnsi="Arial" w:cs="Arial"/>
                <w:b/>
                <w:sz w:val="16"/>
                <w:szCs w:val="16"/>
              </w:rPr>
            </w:pPr>
            <w:r>
              <w:rPr>
                <w:rFonts w:ascii="Arial" w:hAnsi="Arial" w:cs="Arial"/>
                <w:b/>
                <w:sz w:val="16"/>
                <w:szCs w:val="16"/>
              </w:rPr>
              <w:t>2</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3D5F58A" w14:textId="77777777" w:rsidR="009D246F" w:rsidRDefault="009D246F" w:rsidP="00E91CD3">
            <w:pPr>
              <w:spacing w:after="0" w:line="240" w:lineRule="auto"/>
              <w:jc w:val="center"/>
              <w:rPr>
                <w:rFonts w:ascii="Arial" w:hAnsi="Arial" w:cs="Arial"/>
                <w:b/>
                <w:sz w:val="16"/>
                <w:szCs w:val="16"/>
              </w:rPr>
            </w:pPr>
            <w:r>
              <w:rPr>
                <w:rFonts w:ascii="Arial" w:hAnsi="Arial" w:cs="Arial"/>
                <w:b/>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2396FA6" w14:textId="77777777" w:rsidR="009D246F" w:rsidRDefault="009D246F" w:rsidP="00E91CD3">
            <w:pPr>
              <w:spacing w:after="0" w:line="240" w:lineRule="auto"/>
              <w:jc w:val="center"/>
              <w:rPr>
                <w:rFonts w:ascii="Arial" w:hAnsi="Arial" w:cs="Arial"/>
                <w:b/>
                <w:sz w:val="16"/>
                <w:szCs w:val="16"/>
              </w:rPr>
            </w:pPr>
            <w:r>
              <w:rPr>
                <w:rFonts w:ascii="Arial" w:hAnsi="Arial" w:cs="Arial"/>
                <w:b/>
                <w:sz w:val="16"/>
                <w:szCs w:val="16"/>
              </w:rPr>
              <w:t>2</w:t>
            </w:r>
          </w:p>
        </w:tc>
        <w:tc>
          <w:tcPr>
            <w:tcW w:w="2007" w:type="dxa"/>
            <w:tcBorders>
              <w:top w:val="single" w:sz="4" w:space="0" w:color="auto"/>
              <w:left w:val="single" w:sz="4" w:space="0" w:color="auto"/>
              <w:bottom w:val="single" w:sz="4" w:space="0" w:color="auto"/>
              <w:right w:val="single" w:sz="4" w:space="0" w:color="auto"/>
            </w:tcBorders>
            <w:vAlign w:val="center"/>
          </w:tcPr>
          <w:p w14:paraId="7CF0AAA4" w14:textId="5F403553" w:rsidR="009D246F" w:rsidRDefault="009D246F" w:rsidP="00E91CD3">
            <w:pPr>
              <w:spacing w:after="0" w:line="240" w:lineRule="auto"/>
              <w:jc w:val="center"/>
              <w:rPr>
                <w:rFonts w:ascii="Arial" w:hAnsi="Arial" w:cs="Arial"/>
                <w:b/>
                <w:sz w:val="16"/>
                <w:szCs w:val="16"/>
              </w:rPr>
            </w:pPr>
            <w:r>
              <w:rPr>
                <w:rFonts w:ascii="Arial" w:hAnsi="Arial" w:cs="Arial"/>
                <w:b/>
                <w:sz w:val="16"/>
                <w:szCs w:val="16"/>
              </w:rPr>
              <w:t>5</w:t>
            </w:r>
          </w:p>
        </w:tc>
      </w:tr>
    </w:tbl>
    <w:p w14:paraId="1F8FE9FD" w14:textId="77777777" w:rsidR="00CE0230" w:rsidRDefault="00CE0230" w:rsidP="00E91CD3">
      <w:pPr>
        <w:spacing w:after="0" w:line="240" w:lineRule="auto"/>
        <w:rPr>
          <w:rFonts w:ascii="Arial" w:eastAsia="Times New Roman" w:hAnsi="Arial" w:cs="Arial"/>
          <w:b/>
          <w:snapToGrid w:val="0"/>
          <w:spacing w:val="-3"/>
          <w:szCs w:val="20"/>
          <w:lang w:eastAsia="fr-FR"/>
        </w:rPr>
      </w:pPr>
    </w:p>
    <w:p w14:paraId="089B3D11" w14:textId="22B89DF1"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(Domestic private sector)</w:t>
      </w:r>
    </w:p>
    <w:p w14:paraId="4682752A" w14:textId="09214570"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(Domestic public sector)</w:t>
      </w:r>
    </w:p>
    <w:p w14:paraId="15D5AABF" w14:textId="5C718359"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(Foreign)</w:t>
      </w:r>
    </w:p>
    <w:p w14:paraId="410416BC" w14:textId="09C8C6E0"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(Total)</w:t>
      </w:r>
    </w:p>
    <w:p w14:paraId="4C81548D" w14:textId="18959552" w:rsidR="00A91093" w:rsidRDefault="00A91093" w:rsidP="00E91CD3">
      <w:pPr>
        <w:spacing w:after="0" w:line="240" w:lineRule="auto"/>
        <w:rPr>
          <w:rFonts w:ascii="Arial" w:eastAsia="Times New Roman" w:hAnsi="Arial" w:cs="Arial"/>
          <w:b/>
          <w:snapToGrid w:val="0"/>
          <w:spacing w:val="-3"/>
          <w:szCs w:val="20"/>
          <w:lang w:eastAsia="fr-FR"/>
        </w:rPr>
      </w:pPr>
    </w:p>
    <w:p w14:paraId="22A0362F" w14:textId="3E6CF84A" w:rsidR="0018515D"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w:t>
      </w:r>
      <w:r w:rsidR="004D7D4D">
        <w:rPr>
          <w:rFonts w:ascii="Arial" w:hAnsi="Arial" w:cs="Arial"/>
          <w:spacing w:val="-3"/>
          <w:sz w:val="20"/>
        </w:rPr>
        <w:t xml:space="preserve">total </w:t>
      </w:r>
      <w:r>
        <w:rPr>
          <w:rFonts w:ascii="Arial" w:hAnsi="Arial" w:cs="Arial"/>
          <w:spacing w:val="-3"/>
          <w:sz w:val="20"/>
        </w:rPr>
        <w:t xml:space="preserve">value of listed bonds is the number of bonds listed at year end multiplied by their price at year-end. </w:t>
      </w:r>
      <w:r w:rsidR="00E565AC">
        <w:rPr>
          <w:rFonts w:ascii="Arial" w:hAnsi="Arial" w:cs="Arial"/>
          <w:spacing w:val="-3"/>
          <w:sz w:val="20"/>
        </w:rPr>
        <w:t xml:space="preserve">This value is </w:t>
      </w:r>
      <w:r w:rsidR="00E565AC" w:rsidRPr="00490F9F">
        <w:rPr>
          <w:rFonts w:ascii="Arial" w:hAnsi="Arial" w:cs="Arial"/>
          <w:spacing w:val="-3"/>
          <w:sz w:val="20"/>
        </w:rPr>
        <w:t xml:space="preserve">split into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BF5336">
        <w:rPr>
          <w:rFonts w:ascii="Arial" w:hAnsi="Arial" w:cs="Arial"/>
          <w:spacing w:val="-3"/>
          <w:sz w:val="20"/>
        </w:rPr>
        <w:t xml:space="preserve">, </w:t>
      </w:r>
      <w:r w:rsidR="00832339" w:rsidRPr="00245D43">
        <w:rPr>
          <w:rFonts w:ascii="Arial" w:hAnsi="Arial" w:cs="Arial"/>
          <w:color w:val="002060"/>
          <w:spacing w:val="-3"/>
          <w:sz w:val="20"/>
          <w:szCs w:val="20"/>
          <w:u w:val="single"/>
        </w:rPr>
        <w:fldChar w:fldCharType="begin"/>
      </w:r>
      <w:r w:rsidR="00832339" w:rsidRPr="00245D43">
        <w:rPr>
          <w:rFonts w:ascii="Arial" w:hAnsi="Arial" w:cs="Arial"/>
          <w:color w:val="002060"/>
          <w:spacing w:val="-3"/>
          <w:sz w:val="20"/>
          <w:szCs w:val="20"/>
          <w:u w:val="single"/>
        </w:rPr>
        <w:instrText xml:space="preserve"> REF _Ref13652166 \h  \* MERGEFORMAT </w:instrText>
      </w:r>
      <w:r w:rsidR="00832339" w:rsidRPr="00245D43">
        <w:rPr>
          <w:rFonts w:ascii="Arial" w:hAnsi="Arial" w:cs="Arial"/>
          <w:color w:val="002060"/>
          <w:spacing w:val="-3"/>
          <w:sz w:val="20"/>
          <w:szCs w:val="20"/>
          <w:u w:val="single"/>
        </w:rPr>
      </w:r>
      <w:r w:rsidR="00832339"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832339" w:rsidRPr="00245D43">
        <w:rPr>
          <w:rFonts w:ascii="Arial" w:hAnsi="Arial" w:cs="Arial"/>
          <w:color w:val="002060"/>
          <w:spacing w:val="-3"/>
          <w:sz w:val="20"/>
          <w:szCs w:val="20"/>
          <w:u w:val="single"/>
        </w:rPr>
        <w:fldChar w:fldCharType="end"/>
      </w:r>
      <w:r w:rsidR="00832339">
        <w:rPr>
          <w:rFonts w:ascii="Arial" w:hAnsi="Arial" w:cs="Arial"/>
          <w:color w:val="002060"/>
          <w:spacing w:val="-3"/>
          <w:sz w:val="20"/>
          <w:szCs w:val="20"/>
          <w:u w:val="single"/>
        </w:rPr>
        <w:t xml:space="preserve"> </w:t>
      </w:r>
      <w:r w:rsidR="00BF5336">
        <w:rPr>
          <w:rFonts w:ascii="Arial" w:hAnsi="Arial" w:cs="Arial"/>
          <w:spacing w:val="-3"/>
          <w:sz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proofErr w:type="gramStart"/>
      <w:r w:rsidR="0094528E" w:rsidRPr="0094528E">
        <w:rPr>
          <w:rFonts w:ascii="Arial" w:hAnsi="Arial" w:cs="Arial"/>
          <w:color w:val="002060"/>
          <w:sz w:val="20"/>
          <w:szCs w:val="20"/>
          <w:u w:val="single"/>
        </w:rPr>
        <w:t>Foreign</w:t>
      </w:r>
      <w:proofErr w:type="gramEnd"/>
      <w:r w:rsidR="0094528E" w:rsidRPr="0094528E">
        <w:rPr>
          <w:rFonts w:ascii="Arial" w:hAnsi="Arial" w:cs="Arial"/>
          <w:color w:val="002060"/>
          <w:sz w:val="20"/>
          <w:szCs w:val="20"/>
          <w:u w:val="single"/>
        </w:rPr>
        <w:t xml:space="preserve"> bonds</w:t>
      </w:r>
      <w:r w:rsidR="00BF5336" w:rsidRPr="00BF5336">
        <w:rPr>
          <w:rFonts w:ascii="Arial" w:hAnsi="Arial" w:cs="Arial"/>
          <w:color w:val="002060"/>
          <w:sz w:val="20"/>
          <w:szCs w:val="20"/>
          <w:u w:val="single"/>
        </w:rPr>
        <w:fldChar w:fldCharType="end"/>
      </w:r>
      <w:r w:rsidR="00E565AC">
        <w:rPr>
          <w:rFonts w:ascii="Arial" w:hAnsi="Arial" w:cs="Arial"/>
          <w:spacing w:val="-3"/>
          <w:sz w:val="20"/>
        </w:rPr>
        <w:t>.</w:t>
      </w:r>
    </w:p>
    <w:p w14:paraId="21B458B0" w14:textId="76E3AA0C" w:rsidR="0018515D" w:rsidRDefault="001D3C0B"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When </w:t>
      </w:r>
      <w:r w:rsidR="005C5ECF">
        <w:rPr>
          <w:rFonts w:ascii="Arial" w:hAnsi="Arial" w:cs="Arial"/>
          <w:spacing w:val="-3"/>
          <w:sz w:val="20"/>
        </w:rPr>
        <w:t xml:space="preserve">market prices are </w:t>
      </w:r>
      <w:r>
        <w:rPr>
          <w:rFonts w:ascii="Arial" w:hAnsi="Arial" w:cs="Arial"/>
          <w:spacing w:val="-3"/>
          <w:sz w:val="20"/>
        </w:rPr>
        <w:t xml:space="preserve">not available, </w:t>
      </w:r>
      <w:r w:rsidR="0018515D">
        <w:rPr>
          <w:rFonts w:ascii="Arial" w:hAnsi="Arial" w:cs="Arial"/>
          <w:spacing w:val="-3"/>
          <w:sz w:val="20"/>
        </w:rPr>
        <w:t>exchanges</w:t>
      </w:r>
      <w:r>
        <w:rPr>
          <w:rFonts w:ascii="Arial" w:hAnsi="Arial" w:cs="Arial"/>
          <w:spacing w:val="-3"/>
          <w:sz w:val="20"/>
        </w:rPr>
        <w:t xml:space="preserve"> can</w:t>
      </w:r>
      <w:r w:rsidR="0018515D">
        <w:rPr>
          <w:rFonts w:ascii="Arial" w:hAnsi="Arial" w:cs="Arial"/>
          <w:spacing w:val="-3"/>
          <w:sz w:val="20"/>
        </w:rPr>
        <w:t xml:space="preserve"> publish a bond market value </w:t>
      </w:r>
      <w:r w:rsidR="00132840">
        <w:rPr>
          <w:rFonts w:ascii="Arial" w:hAnsi="Arial" w:cs="Arial"/>
          <w:spacing w:val="-3"/>
          <w:sz w:val="20"/>
        </w:rPr>
        <w:t>using</w:t>
      </w:r>
      <w:r w:rsidR="0018515D">
        <w:rPr>
          <w:rFonts w:ascii="Arial" w:hAnsi="Arial" w:cs="Arial"/>
          <w:spacing w:val="-3"/>
          <w:sz w:val="20"/>
        </w:rPr>
        <w:t xml:space="preserve"> a notional value</w:t>
      </w:r>
      <w:r w:rsidR="005C5ECF">
        <w:rPr>
          <w:rFonts w:ascii="Arial" w:hAnsi="Arial" w:cs="Arial"/>
          <w:spacing w:val="-3"/>
          <w:sz w:val="20"/>
        </w:rPr>
        <w:t>. T</w:t>
      </w:r>
      <w:r w:rsidR="00132840">
        <w:rPr>
          <w:rFonts w:ascii="Arial" w:hAnsi="Arial" w:cs="Arial"/>
          <w:spacing w:val="-3"/>
          <w:sz w:val="20"/>
        </w:rPr>
        <w:t xml:space="preserve">his would </w:t>
      </w:r>
      <w:r w:rsidR="0018515D">
        <w:rPr>
          <w:rFonts w:ascii="Arial" w:hAnsi="Arial" w:cs="Arial"/>
          <w:spacing w:val="-3"/>
          <w:sz w:val="20"/>
        </w:rPr>
        <w:t>signa</w:t>
      </w:r>
      <w:r w:rsidR="00132840">
        <w:rPr>
          <w:rFonts w:ascii="Arial" w:hAnsi="Arial" w:cs="Arial"/>
          <w:spacing w:val="-3"/>
          <w:sz w:val="20"/>
        </w:rPr>
        <w:t>l</w:t>
      </w:r>
      <w:r w:rsidR="0018515D">
        <w:rPr>
          <w:rFonts w:ascii="Arial" w:hAnsi="Arial" w:cs="Arial"/>
          <w:spacing w:val="-3"/>
          <w:sz w:val="20"/>
        </w:rPr>
        <w:t>led in a footnote</w:t>
      </w:r>
      <w:r w:rsidR="00132840">
        <w:rPr>
          <w:rFonts w:ascii="Arial" w:hAnsi="Arial" w:cs="Arial"/>
          <w:spacing w:val="-3"/>
          <w:sz w:val="20"/>
        </w:rPr>
        <w:t xml:space="preserve">. </w:t>
      </w:r>
    </w:p>
    <w:p w14:paraId="16FF8EF1" w14:textId="77777777" w:rsidR="00E91CD3" w:rsidRPr="00B917A0"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D7FFBD5" w14:textId="55016E7B" w:rsidR="0018515D" w:rsidRPr="00B917A0"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spacing w:val="-3"/>
          <w:sz w:val="20"/>
          <w:u w:val="single"/>
        </w:rPr>
      </w:pPr>
      <w:r>
        <w:rPr>
          <w:rFonts w:ascii="Arial" w:hAnsi="Arial" w:cs="Arial"/>
          <w:bCs/>
          <w:i/>
          <w:spacing w:val="-3"/>
          <w:sz w:val="20"/>
          <w:u w:val="single"/>
        </w:rPr>
        <w:t xml:space="preserve">Example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0"/>
        <w:gridCol w:w="1879"/>
        <w:gridCol w:w="1372"/>
        <w:gridCol w:w="1985"/>
      </w:tblGrid>
      <w:tr w:rsidR="0018515D" w14:paraId="55930000" w14:textId="77777777" w:rsidTr="00F505A1">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01ECCE4F" w14:textId="77777777" w:rsidR="0018515D" w:rsidRDefault="0018515D" w:rsidP="00E91CD3">
            <w:pPr>
              <w:spacing w:after="0" w:line="240" w:lineRule="auto"/>
              <w:rPr>
                <w:rFonts w:ascii="Arial" w:hAnsi="Arial" w:cs="Arial"/>
                <w:b/>
                <w:bCs/>
                <w:color w:val="FFFFFF"/>
                <w:sz w:val="16"/>
                <w:szCs w:val="16"/>
              </w:rPr>
            </w:pPr>
            <w:r>
              <w:rPr>
                <w:rFonts w:ascii="Arial" w:hAnsi="Arial" w:cs="Arial"/>
                <w:b/>
                <w:bCs/>
                <w:color w:val="FFFFFF"/>
                <w:sz w:val="16"/>
                <w:szCs w:val="16"/>
              </w:rPr>
              <w:t>Issuer</w:t>
            </w:r>
          </w:p>
        </w:tc>
        <w:tc>
          <w:tcPr>
            <w:tcW w:w="1879"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74B35B74" w14:textId="77777777" w:rsidR="0018515D" w:rsidRDefault="0018515D"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Number of issues</w:t>
            </w:r>
          </w:p>
        </w:tc>
        <w:tc>
          <w:tcPr>
            <w:tcW w:w="1372"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1FC8582C" w14:textId="77777777" w:rsidR="0018515D" w:rsidRDefault="0018515D"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Price *</w:t>
            </w:r>
          </w:p>
        </w:tc>
        <w:tc>
          <w:tcPr>
            <w:tcW w:w="1985"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63EB5118" w14:textId="77777777" w:rsidR="0018515D" w:rsidRDefault="0018515D"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Bond value</w:t>
            </w:r>
          </w:p>
        </w:tc>
      </w:tr>
      <w:tr w:rsidR="0018515D" w14:paraId="29AB1AE2" w14:textId="77777777" w:rsidTr="00F505A1">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bottom"/>
            <w:hideMark/>
          </w:tcPr>
          <w:p w14:paraId="0373EAA1" w14:textId="77777777" w:rsidR="0018515D" w:rsidRDefault="0018515D" w:rsidP="00E91CD3">
            <w:pPr>
              <w:spacing w:after="0" w:line="240" w:lineRule="auto"/>
              <w:rPr>
                <w:rFonts w:ascii="Arial" w:hAnsi="Arial" w:cs="Arial"/>
                <w:color w:val="FFFFFF"/>
                <w:sz w:val="16"/>
                <w:szCs w:val="16"/>
              </w:rPr>
            </w:pPr>
            <w:r>
              <w:rPr>
                <w:rFonts w:ascii="Arial" w:hAnsi="Arial" w:cs="Arial"/>
                <w:color w:val="FFFFFF"/>
                <w:sz w:val="16"/>
                <w:szCs w:val="16"/>
              </w:rPr>
              <w:t>Domestic public bond issuer A</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10FCC1D0"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250</w:t>
            </w:r>
          </w:p>
        </w:tc>
        <w:tc>
          <w:tcPr>
            <w:tcW w:w="1372" w:type="dxa"/>
            <w:tcBorders>
              <w:top w:val="single" w:sz="4" w:space="0" w:color="auto"/>
              <w:left w:val="single" w:sz="4" w:space="0" w:color="auto"/>
              <w:bottom w:val="single" w:sz="4" w:space="0" w:color="auto"/>
              <w:right w:val="single" w:sz="4" w:space="0" w:color="auto"/>
            </w:tcBorders>
            <w:noWrap/>
            <w:vAlign w:val="center"/>
            <w:hideMark/>
          </w:tcPr>
          <w:p w14:paraId="4BA3F931"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10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BA237" w14:textId="77777777" w:rsidR="0018515D" w:rsidRDefault="0018515D" w:rsidP="00E91CD3">
            <w:pPr>
              <w:spacing w:after="0" w:line="240" w:lineRule="auto"/>
              <w:jc w:val="center"/>
              <w:rPr>
                <w:rFonts w:ascii="Arial" w:hAnsi="Arial" w:cs="Arial"/>
                <w:sz w:val="16"/>
                <w:szCs w:val="16"/>
              </w:rPr>
            </w:pPr>
            <w:r>
              <w:rPr>
                <w:rFonts w:ascii="Arial" w:hAnsi="Arial" w:cs="Arial"/>
                <w:b/>
                <w:bCs/>
                <w:sz w:val="16"/>
                <w:szCs w:val="16"/>
              </w:rPr>
              <w:t>2,500</w:t>
            </w:r>
          </w:p>
        </w:tc>
      </w:tr>
      <w:tr w:rsidR="0018515D" w14:paraId="2A781C85" w14:textId="77777777" w:rsidTr="00F505A1">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bottom"/>
            <w:hideMark/>
          </w:tcPr>
          <w:p w14:paraId="2433102B" w14:textId="77777777" w:rsidR="0018515D" w:rsidRDefault="0018515D" w:rsidP="00E91CD3">
            <w:pPr>
              <w:spacing w:after="0" w:line="240" w:lineRule="auto"/>
              <w:rPr>
                <w:rFonts w:ascii="Arial" w:hAnsi="Arial" w:cs="Arial"/>
                <w:b/>
                <w:color w:val="FFFFFF"/>
                <w:sz w:val="16"/>
                <w:szCs w:val="16"/>
              </w:rPr>
            </w:pPr>
            <w:r>
              <w:rPr>
                <w:rFonts w:ascii="Arial" w:hAnsi="Arial" w:cs="Arial"/>
                <w:color w:val="FFFFFF"/>
                <w:sz w:val="16"/>
                <w:szCs w:val="16"/>
              </w:rPr>
              <w:t>Domestic private bond issuer B</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560000B6"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150</w:t>
            </w:r>
          </w:p>
        </w:tc>
        <w:tc>
          <w:tcPr>
            <w:tcW w:w="1372" w:type="dxa"/>
            <w:tcBorders>
              <w:top w:val="single" w:sz="4" w:space="0" w:color="auto"/>
              <w:left w:val="single" w:sz="4" w:space="0" w:color="auto"/>
              <w:bottom w:val="single" w:sz="4" w:space="0" w:color="auto"/>
              <w:right w:val="single" w:sz="4" w:space="0" w:color="auto"/>
            </w:tcBorders>
            <w:noWrap/>
            <w:vAlign w:val="center"/>
            <w:hideMark/>
          </w:tcPr>
          <w:p w14:paraId="59281DB5"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088F8D" w14:textId="77777777" w:rsidR="0018515D" w:rsidRDefault="0018515D" w:rsidP="00E91CD3">
            <w:pPr>
              <w:spacing w:after="0" w:line="240" w:lineRule="auto"/>
              <w:jc w:val="center"/>
              <w:rPr>
                <w:rFonts w:ascii="Arial" w:hAnsi="Arial" w:cs="Arial"/>
                <w:b/>
                <w:bCs/>
                <w:sz w:val="16"/>
                <w:szCs w:val="16"/>
              </w:rPr>
            </w:pPr>
            <w:r>
              <w:rPr>
                <w:rFonts w:ascii="Arial" w:hAnsi="Arial" w:cs="Arial"/>
                <w:b/>
                <w:bCs/>
                <w:sz w:val="16"/>
                <w:szCs w:val="16"/>
              </w:rPr>
              <w:t>750</w:t>
            </w:r>
          </w:p>
        </w:tc>
      </w:tr>
      <w:tr w:rsidR="0018515D" w14:paraId="7E61FB2D" w14:textId="77777777" w:rsidTr="00F505A1">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bottom"/>
            <w:hideMark/>
          </w:tcPr>
          <w:p w14:paraId="5CEADD60" w14:textId="77777777" w:rsidR="0018515D" w:rsidRDefault="0018515D" w:rsidP="00E91CD3">
            <w:pPr>
              <w:spacing w:after="0" w:line="240" w:lineRule="auto"/>
              <w:rPr>
                <w:rFonts w:ascii="Arial" w:hAnsi="Arial" w:cs="Arial"/>
                <w:color w:val="FFFFFF"/>
                <w:sz w:val="16"/>
                <w:szCs w:val="16"/>
              </w:rPr>
            </w:pPr>
            <w:r>
              <w:rPr>
                <w:rFonts w:ascii="Arial" w:hAnsi="Arial" w:cs="Arial"/>
                <w:color w:val="FFFFFF"/>
                <w:sz w:val="16"/>
                <w:szCs w:val="16"/>
              </w:rPr>
              <w:t>Foreign bond issuer  C</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393B9B85"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300</w:t>
            </w:r>
          </w:p>
        </w:tc>
        <w:tc>
          <w:tcPr>
            <w:tcW w:w="1372" w:type="dxa"/>
            <w:tcBorders>
              <w:top w:val="single" w:sz="4" w:space="0" w:color="auto"/>
              <w:left w:val="single" w:sz="4" w:space="0" w:color="auto"/>
              <w:bottom w:val="single" w:sz="4" w:space="0" w:color="auto"/>
              <w:right w:val="single" w:sz="4" w:space="0" w:color="auto"/>
            </w:tcBorders>
            <w:noWrap/>
            <w:vAlign w:val="center"/>
            <w:hideMark/>
          </w:tcPr>
          <w:p w14:paraId="3ECA0985"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7DC02BD" w14:textId="77777777" w:rsidR="0018515D" w:rsidRDefault="0018515D" w:rsidP="00E91CD3">
            <w:pPr>
              <w:spacing w:after="0" w:line="240" w:lineRule="auto"/>
              <w:jc w:val="center"/>
              <w:rPr>
                <w:rFonts w:ascii="Arial" w:hAnsi="Arial" w:cs="Arial"/>
                <w:sz w:val="16"/>
                <w:szCs w:val="16"/>
              </w:rPr>
            </w:pPr>
            <w:r>
              <w:rPr>
                <w:rFonts w:ascii="Arial" w:hAnsi="Arial" w:cs="Arial"/>
                <w:b/>
                <w:bCs/>
                <w:sz w:val="16"/>
                <w:szCs w:val="16"/>
              </w:rPr>
              <w:t>600</w:t>
            </w:r>
          </w:p>
        </w:tc>
      </w:tr>
      <w:tr w:rsidR="0018515D" w14:paraId="031D1C18" w14:textId="77777777" w:rsidTr="00F505A1">
        <w:trPr>
          <w:trHeight w:val="270"/>
        </w:trPr>
        <w:tc>
          <w:tcPr>
            <w:tcW w:w="4120" w:type="dxa"/>
            <w:tcBorders>
              <w:top w:val="single" w:sz="4" w:space="0" w:color="auto"/>
              <w:left w:val="single" w:sz="4" w:space="0" w:color="auto"/>
              <w:bottom w:val="single" w:sz="4" w:space="0" w:color="auto"/>
              <w:right w:val="single" w:sz="4" w:space="0" w:color="auto"/>
            </w:tcBorders>
            <w:noWrap/>
            <w:vAlign w:val="bottom"/>
            <w:hideMark/>
          </w:tcPr>
          <w:p w14:paraId="0FEDEA7B" w14:textId="77777777" w:rsidR="0018515D" w:rsidRDefault="0018515D" w:rsidP="00E91CD3">
            <w:pPr>
              <w:spacing w:after="0" w:line="240" w:lineRule="auto"/>
              <w:rPr>
                <w:rFonts w:ascii="Arial" w:hAnsi="Arial" w:cs="Arial"/>
                <w:b/>
                <w:sz w:val="16"/>
                <w:szCs w:val="16"/>
              </w:rPr>
            </w:pPr>
            <w:r>
              <w:rPr>
                <w:rFonts w:ascii="Arial" w:hAnsi="Arial" w:cs="Arial"/>
                <w:b/>
                <w:sz w:val="16"/>
                <w:szCs w:val="16"/>
              </w:rPr>
              <w:t xml:space="preserve">Total </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5493159" w14:textId="77777777" w:rsidR="0018515D" w:rsidRDefault="0018515D" w:rsidP="00E91CD3">
            <w:pPr>
              <w:spacing w:after="0" w:line="240" w:lineRule="auto"/>
              <w:rPr>
                <w:rFonts w:ascii="Arial" w:hAnsi="Arial" w:cs="Arial"/>
                <w:sz w:val="16"/>
                <w:szCs w:val="16"/>
              </w:rPr>
            </w:pPr>
            <w:r>
              <w:rPr>
                <w:rFonts w:ascii="Arial" w:hAnsi="Arial" w:cs="Arial"/>
                <w:sz w:val="16"/>
                <w:szCs w:val="16"/>
              </w:rPr>
              <w:t> </w:t>
            </w:r>
          </w:p>
        </w:tc>
        <w:tc>
          <w:tcPr>
            <w:tcW w:w="1372" w:type="dxa"/>
            <w:tcBorders>
              <w:top w:val="single" w:sz="4" w:space="0" w:color="auto"/>
              <w:left w:val="single" w:sz="4" w:space="0" w:color="auto"/>
              <w:bottom w:val="single" w:sz="4" w:space="0" w:color="auto"/>
              <w:right w:val="single" w:sz="4" w:space="0" w:color="auto"/>
            </w:tcBorders>
            <w:noWrap/>
            <w:vAlign w:val="bottom"/>
            <w:hideMark/>
          </w:tcPr>
          <w:p w14:paraId="53F6F3CE" w14:textId="77777777" w:rsidR="0018515D" w:rsidRDefault="0018515D" w:rsidP="00E91CD3">
            <w:pPr>
              <w:spacing w:after="0" w:line="240" w:lineRule="auto"/>
              <w:rPr>
                <w:rFonts w:ascii="Arial" w:hAnsi="Arial" w:cs="Arial"/>
                <w:sz w:val="16"/>
                <w:szCs w:val="16"/>
              </w:rPr>
            </w:pPr>
            <w:r>
              <w:rPr>
                <w:rFonts w:ascii="Arial" w:hAnsi="Arial" w:cs="Arial"/>
                <w:sz w:val="16"/>
                <w:szCs w:val="16"/>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3F402D2" w14:textId="77777777" w:rsidR="0018515D" w:rsidRDefault="0018515D" w:rsidP="00E91CD3">
            <w:pPr>
              <w:spacing w:after="0" w:line="240" w:lineRule="auto"/>
              <w:jc w:val="center"/>
              <w:rPr>
                <w:rFonts w:ascii="Arial" w:hAnsi="Arial" w:cs="Arial"/>
                <w:b/>
                <w:bCs/>
                <w:sz w:val="16"/>
                <w:szCs w:val="16"/>
              </w:rPr>
            </w:pPr>
            <w:r>
              <w:rPr>
                <w:rFonts w:ascii="Arial" w:hAnsi="Arial" w:cs="Arial"/>
                <w:b/>
                <w:bCs/>
                <w:sz w:val="16"/>
                <w:szCs w:val="16"/>
              </w:rPr>
              <w:t>3,850</w:t>
            </w:r>
          </w:p>
        </w:tc>
      </w:tr>
    </w:tbl>
    <w:p w14:paraId="2BCC8A80" w14:textId="77777777" w:rsidR="0018515D"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rPr>
      </w:pPr>
      <w:r>
        <w:rPr>
          <w:rFonts w:ascii="Arial" w:hAnsi="Arial" w:cs="Arial"/>
          <w:bCs/>
          <w:i/>
          <w:iCs/>
          <w:spacing w:val="-3"/>
          <w:sz w:val="20"/>
        </w:rPr>
        <w:t>* Prices can be market price (matching price) or notional value.</w:t>
      </w:r>
    </w:p>
    <w:p w14:paraId="28873F92" w14:textId="679E8599" w:rsidR="00A91093" w:rsidRDefault="00A91093" w:rsidP="00E91CD3">
      <w:pPr>
        <w:spacing w:after="0" w:line="240" w:lineRule="auto"/>
        <w:rPr>
          <w:rFonts w:ascii="Arial" w:eastAsia="Times New Roman" w:hAnsi="Arial" w:cs="Arial"/>
          <w:b/>
          <w:snapToGrid w:val="0"/>
          <w:spacing w:val="-3"/>
          <w:szCs w:val="20"/>
          <w:lang w:eastAsia="fr-FR"/>
        </w:rPr>
      </w:pPr>
    </w:p>
    <w:p w14:paraId="728989E5" w14:textId="7653F601" w:rsidR="00D538CC" w:rsidRPr="00B917A0"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(Domestic private sector)</w:t>
      </w:r>
    </w:p>
    <w:p w14:paraId="217C1532" w14:textId="50F501F9" w:rsidR="00D538CC" w:rsidRPr="00B917A0"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(Domestic public sector)</w:t>
      </w:r>
    </w:p>
    <w:p w14:paraId="3045F482" w14:textId="224BC1E4" w:rsidR="00D538CC" w:rsidRPr="00B917A0"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(Foreign)</w:t>
      </w:r>
    </w:p>
    <w:p w14:paraId="1BB467C8" w14:textId="4E51DFBC" w:rsidR="00845B7A"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(Total)</w:t>
      </w:r>
    </w:p>
    <w:p w14:paraId="070C63FF" w14:textId="77777777" w:rsidR="00845B7A" w:rsidRPr="00B917A0" w:rsidRDefault="00845B7A" w:rsidP="00E91CD3">
      <w:pPr>
        <w:spacing w:after="0" w:line="240" w:lineRule="auto"/>
        <w:rPr>
          <w:rFonts w:ascii="Arial" w:eastAsia="Times New Roman" w:hAnsi="Arial" w:cs="Arial"/>
          <w:b/>
          <w:snapToGrid w:val="0"/>
          <w:spacing w:val="-3"/>
          <w:szCs w:val="20"/>
          <w:lang w:eastAsia="fr-FR"/>
        </w:rPr>
      </w:pPr>
    </w:p>
    <w:p w14:paraId="4593D602" w14:textId="1E47D1C4" w:rsidR="00845B7A" w:rsidRPr="00B917A0" w:rsidRDefault="00845B7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
          <w:iCs/>
          <w:spacing w:val="-3"/>
          <w:sz w:val="20"/>
        </w:rPr>
      </w:pPr>
      <w:r w:rsidRPr="00B917A0">
        <w:rPr>
          <w:rFonts w:ascii="Arial" w:hAnsi="Arial" w:cs="Arial"/>
          <w:i/>
          <w:iCs/>
          <w:spacing w:val="-3"/>
          <w:sz w:val="20"/>
        </w:rPr>
        <w:t>Definition</w:t>
      </w:r>
    </w:p>
    <w:p w14:paraId="187AB987" w14:textId="372C39EC" w:rsidR="005E192C" w:rsidRDefault="005E192C" w:rsidP="005E192C">
      <w:pPr>
        <w:suppressAutoHyphens/>
        <w:spacing w:after="0" w:line="240" w:lineRule="auto"/>
        <w:jc w:val="both"/>
        <w:rPr>
          <w:rFonts w:ascii="Arial" w:hAnsi="Arial" w:cs="Arial"/>
          <w:color w:val="002060"/>
          <w:sz w:val="20"/>
          <w:szCs w:val="20"/>
          <w:u w:val="single"/>
        </w:rPr>
      </w:pPr>
      <w:r>
        <w:rPr>
          <w:rFonts w:ascii="Arial" w:hAnsi="Arial" w:cs="Arial"/>
          <w:spacing w:val="-3"/>
          <w:sz w:val="20"/>
        </w:rPr>
        <w:t xml:space="preserve">This indicator describes the corresponding value of newly listed bonds on an exchange and includes money raised in already listed </w:t>
      </w:r>
      <w:r w:rsidRPr="00AB5DDE">
        <w:rPr>
          <w:rFonts w:ascii="Arial" w:hAnsi="Arial" w:cs="Arial"/>
          <w:spacing w:val="-3"/>
          <w:sz w:val="20"/>
        </w:rPr>
        <w:t xml:space="preserve">bonds. It is calculated by multiplying the number of listed bonds by their price at issuance. The figure should include capital raised through the issuance of convertible instruments (such as convertible stocks). </w:t>
      </w:r>
      <w:r>
        <w:rPr>
          <w:rFonts w:ascii="Arial" w:hAnsi="Arial" w:cs="Arial"/>
          <w:spacing w:val="-3"/>
          <w:sz w:val="20"/>
        </w:rPr>
        <w:t xml:space="preserve">This value is </w:t>
      </w:r>
      <w:r w:rsidRPr="00490F9F">
        <w:rPr>
          <w:rFonts w:ascii="Arial" w:hAnsi="Arial" w:cs="Arial"/>
          <w:spacing w:val="-3"/>
          <w:sz w:val="20"/>
        </w:rPr>
        <w:t xml:space="preserve">split into </w:t>
      </w:r>
      <w:r w:rsidRPr="00BF5336">
        <w:rPr>
          <w:rFonts w:ascii="Arial" w:hAnsi="Arial" w:cs="Arial"/>
          <w:color w:val="002060"/>
          <w:sz w:val="20"/>
          <w:szCs w:val="20"/>
          <w:u w:val="single"/>
        </w:rPr>
        <w:fldChar w:fldCharType="begin"/>
      </w:r>
      <w:r w:rsidRPr="00BF5336">
        <w:rPr>
          <w:rFonts w:ascii="Arial" w:hAnsi="Arial" w:cs="Arial"/>
          <w:color w:val="002060"/>
          <w:sz w:val="20"/>
          <w:szCs w:val="20"/>
          <w:u w:val="single"/>
        </w:rPr>
        <w:instrText xml:space="preserve"> REF _Ref13652152 \h </w:instrText>
      </w:r>
      <w:r>
        <w:rPr>
          <w:rFonts w:ascii="Arial" w:hAnsi="Arial" w:cs="Arial"/>
          <w:color w:val="002060"/>
          <w:sz w:val="20"/>
          <w:szCs w:val="20"/>
          <w:u w:val="single"/>
        </w:rPr>
        <w:instrText xml:space="preserve"> \* MERGEFORMAT </w:instrText>
      </w:r>
      <w:r w:rsidRPr="00BF5336">
        <w:rPr>
          <w:rFonts w:ascii="Arial" w:hAnsi="Arial" w:cs="Arial"/>
          <w:color w:val="002060"/>
          <w:sz w:val="20"/>
          <w:szCs w:val="20"/>
          <w:u w:val="single"/>
        </w:rPr>
      </w:r>
      <w:r w:rsidRPr="00BF5336">
        <w:rPr>
          <w:rFonts w:ascii="Arial" w:hAnsi="Arial" w:cs="Arial"/>
          <w:color w:val="002060"/>
          <w:sz w:val="20"/>
          <w:szCs w:val="20"/>
          <w:u w:val="single"/>
        </w:rPr>
        <w:fldChar w:fldCharType="separate"/>
      </w:r>
      <w:r w:rsidRPr="0094528E">
        <w:rPr>
          <w:rFonts w:ascii="Arial" w:hAnsi="Arial" w:cs="Arial"/>
          <w:color w:val="002060"/>
          <w:sz w:val="20"/>
          <w:szCs w:val="20"/>
          <w:u w:val="single"/>
        </w:rPr>
        <w:t>Domestic private bonds</w:t>
      </w:r>
      <w:r w:rsidRPr="00BF5336">
        <w:rPr>
          <w:rFonts w:ascii="Arial" w:hAnsi="Arial" w:cs="Arial"/>
          <w:color w:val="002060"/>
          <w:sz w:val="20"/>
          <w:szCs w:val="20"/>
          <w:u w:val="single"/>
        </w:rPr>
        <w:fldChar w:fldCharType="end"/>
      </w:r>
      <w:r>
        <w:rPr>
          <w:rFonts w:ascii="Arial" w:hAnsi="Arial" w:cs="Arial"/>
          <w:spacing w:val="-3"/>
          <w:sz w:val="20"/>
        </w:rPr>
        <w:t xml:space="preserve">, </w:t>
      </w:r>
      <w:r w:rsidRPr="00245D43">
        <w:rPr>
          <w:rFonts w:ascii="Arial" w:hAnsi="Arial" w:cs="Arial"/>
          <w:color w:val="002060"/>
          <w:spacing w:val="-3"/>
          <w:sz w:val="20"/>
          <w:szCs w:val="20"/>
          <w:u w:val="single"/>
        </w:rPr>
        <w:fldChar w:fldCharType="begin"/>
      </w:r>
      <w:r w:rsidRPr="00245D43">
        <w:rPr>
          <w:rFonts w:ascii="Arial" w:hAnsi="Arial" w:cs="Arial"/>
          <w:color w:val="002060"/>
          <w:spacing w:val="-3"/>
          <w:sz w:val="20"/>
          <w:szCs w:val="20"/>
          <w:u w:val="single"/>
        </w:rPr>
        <w:instrText xml:space="preserve"> REF _Ref13652166 \h  \* MERGEFORMAT </w:instrText>
      </w:r>
      <w:r w:rsidRPr="00245D43">
        <w:rPr>
          <w:rFonts w:ascii="Arial" w:hAnsi="Arial" w:cs="Arial"/>
          <w:color w:val="002060"/>
          <w:spacing w:val="-3"/>
          <w:sz w:val="20"/>
          <w:szCs w:val="20"/>
          <w:u w:val="single"/>
        </w:rPr>
      </w:r>
      <w:r w:rsidRPr="00245D43">
        <w:rPr>
          <w:rFonts w:ascii="Arial" w:hAnsi="Arial" w:cs="Arial"/>
          <w:color w:val="002060"/>
          <w:spacing w:val="-3"/>
          <w:sz w:val="20"/>
          <w:szCs w:val="20"/>
          <w:u w:val="single"/>
        </w:rPr>
        <w:fldChar w:fldCharType="separate"/>
      </w:r>
      <w:r w:rsidRPr="0094528E">
        <w:rPr>
          <w:rFonts w:ascii="Arial" w:hAnsi="Arial" w:cs="Arial"/>
          <w:color w:val="002060"/>
          <w:sz w:val="20"/>
          <w:szCs w:val="20"/>
          <w:u w:val="single"/>
        </w:rPr>
        <w:t>Domestic public bonds</w:t>
      </w:r>
      <w:r w:rsidRPr="00245D43">
        <w:rPr>
          <w:rFonts w:ascii="Arial" w:hAnsi="Arial" w:cs="Arial"/>
          <w:color w:val="002060"/>
          <w:spacing w:val="-3"/>
          <w:sz w:val="20"/>
          <w:szCs w:val="20"/>
          <w:u w:val="single"/>
        </w:rPr>
        <w:fldChar w:fldCharType="end"/>
      </w:r>
      <w:r>
        <w:rPr>
          <w:rFonts w:ascii="Arial" w:hAnsi="Arial" w:cs="Arial"/>
          <w:color w:val="002060"/>
          <w:spacing w:val="-3"/>
          <w:sz w:val="20"/>
          <w:szCs w:val="20"/>
          <w:u w:val="single"/>
        </w:rPr>
        <w:t xml:space="preserve"> </w:t>
      </w:r>
      <w:r>
        <w:rPr>
          <w:rFonts w:ascii="Arial" w:hAnsi="Arial" w:cs="Arial"/>
          <w:spacing w:val="-3"/>
          <w:sz w:val="20"/>
        </w:rPr>
        <w:t xml:space="preserve">and </w:t>
      </w:r>
      <w:r w:rsidRPr="00BF5336">
        <w:rPr>
          <w:rFonts w:ascii="Arial" w:hAnsi="Arial" w:cs="Arial"/>
          <w:color w:val="002060"/>
          <w:sz w:val="20"/>
          <w:szCs w:val="20"/>
          <w:u w:val="single"/>
        </w:rPr>
        <w:fldChar w:fldCharType="begin"/>
      </w:r>
      <w:r w:rsidRPr="00BF5336">
        <w:rPr>
          <w:rFonts w:ascii="Arial" w:hAnsi="Arial" w:cs="Arial"/>
          <w:color w:val="002060"/>
          <w:sz w:val="20"/>
          <w:szCs w:val="20"/>
          <w:u w:val="single"/>
        </w:rPr>
        <w:instrText xml:space="preserve"> REF _Ref13652174 \h </w:instrText>
      </w:r>
      <w:r>
        <w:rPr>
          <w:rFonts w:ascii="Arial" w:hAnsi="Arial" w:cs="Arial"/>
          <w:color w:val="002060"/>
          <w:sz w:val="20"/>
          <w:szCs w:val="20"/>
          <w:u w:val="single"/>
        </w:rPr>
        <w:instrText xml:space="preserve"> \* MERGEFORMAT </w:instrText>
      </w:r>
      <w:r w:rsidRPr="00BF5336">
        <w:rPr>
          <w:rFonts w:ascii="Arial" w:hAnsi="Arial" w:cs="Arial"/>
          <w:color w:val="002060"/>
          <w:sz w:val="20"/>
          <w:szCs w:val="20"/>
          <w:u w:val="single"/>
        </w:rPr>
      </w:r>
      <w:r w:rsidRPr="00BF5336">
        <w:rPr>
          <w:rFonts w:ascii="Arial" w:hAnsi="Arial" w:cs="Arial"/>
          <w:color w:val="002060"/>
          <w:sz w:val="20"/>
          <w:szCs w:val="20"/>
          <w:u w:val="single"/>
        </w:rPr>
        <w:fldChar w:fldCharType="separate"/>
      </w:r>
      <w:proofErr w:type="gramStart"/>
      <w:r w:rsidRPr="0094528E">
        <w:rPr>
          <w:rFonts w:ascii="Arial" w:hAnsi="Arial" w:cs="Arial"/>
          <w:color w:val="002060"/>
          <w:sz w:val="20"/>
          <w:szCs w:val="20"/>
          <w:u w:val="single"/>
        </w:rPr>
        <w:t>Foreign</w:t>
      </w:r>
      <w:proofErr w:type="gramEnd"/>
      <w:r w:rsidRPr="0094528E">
        <w:rPr>
          <w:rFonts w:ascii="Arial" w:hAnsi="Arial" w:cs="Arial"/>
          <w:color w:val="002060"/>
          <w:sz w:val="20"/>
          <w:szCs w:val="20"/>
          <w:u w:val="single"/>
        </w:rPr>
        <w:t xml:space="preserve"> bonds</w:t>
      </w:r>
      <w:r w:rsidRPr="00BF5336">
        <w:rPr>
          <w:rFonts w:ascii="Arial" w:hAnsi="Arial" w:cs="Arial"/>
          <w:color w:val="002060"/>
          <w:sz w:val="20"/>
          <w:szCs w:val="20"/>
          <w:u w:val="single"/>
        </w:rPr>
        <w:fldChar w:fldCharType="end"/>
      </w:r>
      <w:r>
        <w:rPr>
          <w:rFonts w:ascii="Arial" w:hAnsi="Arial" w:cs="Arial"/>
          <w:color w:val="002060"/>
          <w:sz w:val="20"/>
          <w:szCs w:val="20"/>
          <w:u w:val="single"/>
        </w:rPr>
        <w:t>.</w:t>
      </w:r>
    </w:p>
    <w:p w14:paraId="5B582D14" w14:textId="77777777" w:rsidR="00E91CD3" w:rsidRDefault="00E91CD3" w:rsidP="00E91CD3">
      <w:pPr>
        <w:suppressAutoHyphens/>
        <w:spacing w:after="0" w:line="240" w:lineRule="auto"/>
        <w:jc w:val="both"/>
        <w:rPr>
          <w:rFonts w:ascii="Arial" w:hAnsi="Arial" w:cs="Arial"/>
          <w:spacing w:val="-3"/>
          <w:sz w:val="20"/>
        </w:rPr>
      </w:pPr>
    </w:p>
    <w:p w14:paraId="034D7A38" w14:textId="7AF8FDDA" w:rsidR="00845B7A" w:rsidRPr="00503B62" w:rsidRDefault="00845B7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t xml:space="preserve">Example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028"/>
        <w:gridCol w:w="2028"/>
        <w:gridCol w:w="2030"/>
      </w:tblGrid>
      <w:tr w:rsidR="00845B7A" w14:paraId="58004941"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4E565B22" w14:textId="77777777" w:rsidR="00845B7A" w:rsidRDefault="00845B7A" w:rsidP="00E91CD3">
            <w:pPr>
              <w:spacing w:after="0" w:line="240" w:lineRule="auto"/>
              <w:rPr>
                <w:rFonts w:ascii="Arial" w:hAnsi="Arial" w:cs="Arial"/>
                <w:b/>
                <w:bCs/>
                <w:color w:val="FFFFFF"/>
                <w:sz w:val="16"/>
                <w:szCs w:val="16"/>
              </w:rPr>
            </w:pPr>
            <w:r>
              <w:rPr>
                <w:rFonts w:ascii="Arial" w:hAnsi="Arial" w:cs="Arial"/>
                <w:b/>
                <w:bCs/>
                <w:color w:val="FFFFFF"/>
                <w:sz w:val="16"/>
                <w:szCs w:val="16"/>
              </w:rPr>
              <w:t>Issuer</w:t>
            </w:r>
          </w:p>
        </w:tc>
        <w:tc>
          <w:tcPr>
            <w:tcW w:w="2027"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61F3084F" w14:textId="77777777" w:rsidR="00845B7A" w:rsidRDefault="00845B7A"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Number of new bond issues</w:t>
            </w:r>
          </w:p>
        </w:tc>
        <w:tc>
          <w:tcPr>
            <w:tcW w:w="2027"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4392B131" w14:textId="77777777" w:rsidR="00845B7A" w:rsidRDefault="00845B7A"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Issue price</w:t>
            </w:r>
          </w:p>
        </w:tc>
        <w:tc>
          <w:tcPr>
            <w:tcW w:w="2029"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6DA46D41" w14:textId="77777777" w:rsidR="00845B7A" w:rsidRDefault="00845B7A"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Investment flows</w:t>
            </w:r>
          </w:p>
        </w:tc>
      </w:tr>
      <w:tr w:rsidR="00845B7A" w14:paraId="0570312B"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1E071928" w14:textId="77777777" w:rsidR="00845B7A" w:rsidRDefault="00845B7A" w:rsidP="00E91CD3">
            <w:pPr>
              <w:spacing w:after="0" w:line="240" w:lineRule="auto"/>
              <w:rPr>
                <w:rFonts w:ascii="Arial" w:hAnsi="Arial" w:cs="Arial"/>
                <w:color w:val="FFFFFF"/>
                <w:sz w:val="16"/>
                <w:szCs w:val="16"/>
              </w:rPr>
            </w:pPr>
            <w:r>
              <w:rPr>
                <w:rFonts w:ascii="Arial" w:hAnsi="Arial" w:cs="Arial"/>
                <w:color w:val="FFFFFF"/>
                <w:sz w:val="16"/>
                <w:szCs w:val="16"/>
              </w:rPr>
              <w:t>Domestic public bond issuer A</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115CE582"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50</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33DD54C4"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10</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4D09A0F2" w14:textId="77777777" w:rsidR="00845B7A" w:rsidRDefault="00845B7A" w:rsidP="00E91CD3">
            <w:pPr>
              <w:spacing w:after="0" w:line="240" w:lineRule="auto"/>
              <w:jc w:val="center"/>
              <w:rPr>
                <w:rFonts w:ascii="Arial" w:hAnsi="Arial" w:cs="Arial"/>
                <w:sz w:val="16"/>
                <w:szCs w:val="16"/>
              </w:rPr>
            </w:pPr>
            <w:r>
              <w:rPr>
                <w:rFonts w:ascii="Arial" w:hAnsi="Arial" w:cs="Arial"/>
                <w:b/>
                <w:bCs/>
                <w:sz w:val="16"/>
                <w:szCs w:val="16"/>
              </w:rPr>
              <w:t>500</w:t>
            </w:r>
          </w:p>
        </w:tc>
      </w:tr>
      <w:tr w:rsidR="00845B7A" w14:paraId="4AB0F466"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3C1AFC83" w14:textId="77777777" w:rsidR="00845B7A" w:rsidRDefault="00845B7A" w:rsidP="00E91CD3">
            <w:pPr>
              <w:spacing w:after="0" w:line="240" w:lineRule="auto"/>
              <w:rPr>
                <w:rFonts w:ascii="Arial" w:hAnsi="Arial" w:cs="Arial"/>
                <w:b/>
                <w:color w:val="FFFFFF"/>
                <w:sz w:val="16"/>
                <w:szCs w:val="16"/>
              </w:rPr>
            </w:pPr>
            <w:r>
              <w:rPr>
                <w:rFonts w:ascii="Arial" w:hAnsi="Arial" w:cs="Arial"/>
                <w:color w:val="FFFFFF"/>
                <w:sz w:val="16"/>
                <w:szCs w:val="16"/>
              </w:rPr>
              <w:t>Domestic private bond issuer B</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725608C6"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10</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699B964D"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10E20A47" w14:textId="77777777" w:rsidR="00845B7A" w:rsidRDefault="00845B7A" w:rsidP="00E91CD3">
            <w:pPr>
              <w:spacing w:after="0" w:line="240" w:lineRule="auto"/>
              <w:jc w:val="center"/>
              <w:rPr>
                <w:rFonts w:ascii="Arial" w:hAnsi="Arial" w:cs="Arial"/>
                <w:b/>
                <w:bCs/>
                <w:sz w:val="16"/>
                <w:szCs w:val="16"/>
              </w:rPr>
            </w:pPr>
            <w:r>
              <w:rPr>
                <w:rFonts w:ascii="Arial" w:hAnsi="Arial" w:cs="Arial"/>
                <w:b/>
                <w:bCs/>
                <w:sz w:val="16"/>
                <w:szCs w:val="16"/>
              </w:rPr>
              <w:t>50</w:t>
            </w:r>
          </w:p>
        </w:tc>
      </w:tr>
      <w:tr w:rsidR="00845B7A" w14:paraId="0BEDF4EC"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019CC626" w14:textId="77777777" w:rsidR="00845B7A" w:rsidRDefault="00845B7A" w:rsidP="00E91CD3">
            <w:pPr>
              <w:spacing w:after="0" w:line="240" w:lineRule="auto"/>
              <w:rPr>
                <w:rFonts w:ascii="Arial" w:hAnsi="Arial" w:cs="Arial"/>
                <w:color w:val="FFFFFF"/>
                <w:sz w:val="16"/>
                <w:szCs w:val="16"/>
              </w:rPr>
            </w:pPr>
            <w:r>
              <w:rPr>
                <w:rFonts w:ascii="Arial" w:hAnsi="Arial" w:cs="Arial"/>
                <w:color w:val="FFFFFF"/>
                <w:sz w:val="16"/>
                <w:szCs w:val="16"/>
              </w:rPr>
              <w:t>Foreign bond issuer C</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766A5227"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30</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67DEA4C4"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2</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6363EFA8" w14:textId="77777777" w:rsidR="00845B7A" w:rsidRDefault="00845B7A" w:rsidP="00E91CD3">
            <w:pPr>
              <w:spacing w:after="0" w:line="240" w:lineRule="auto"/>
              <w:jc w:val="center"/>
              <w:rPr>
                <w:rFonts w:ascii="Arial" w:hAnsi="Arial" w:cs="Arial"/>
                <w:sz w:val="16"/>
                <w:szCs w:val="16"/>
              </w:rPr>
            </w:pPr>
            <w:r>
              <w:rPr>
                <w:rFonts w:ascii="Arial" w:hAnsi="Arial" w:cs="Arial"/>
                <w:b/>
                <w:bCs/>
                <w:sz w:val="16"/>
                <w:szCs w:val="16"/>
              </w:rPr>
              <w:t>60</w:t>
            </w:r>
          </w:p>
        </w:tc>
      </w:tr>
      <w:tr w:rsidR="00845B7A" w14:paraId="1172CE28" w14:textId="77777777" w:rsidTr="00845B7A">
        <w:trPr>
          <w:trHeight w:val="20"/>
        </w:trPr>
        <w:tc>
          <w:tcPr>
            <w:tcW w:w="7610" w:type="dxa"/>
            <w:gridSpan w:val="3"/>
            <w:tcBorders>
              <w:top w:val="single" w:sz="4" w:space="0" w:color="auto"/>
              <w:left w:val="single" w:sz="4" w:space="0" w:color="auto"/>
              <w:bottom w:val="single" w:sz="4" w:space="0" w:color="auto"/>
              <w:right w:val="single" w:sz="4" w:space="0" w:color="auto"/>
            </w:tcBorders>
            <w:noWrap/>
            <w:vAlign w:val="bottom"/>
            <w:hideMark/>
          </w:tcPr>
          <w:p w14:paraId="42D9C2FF" w14:textId="77777777" w:rsidR="00845B7A" w:rsidRDefault="00845B7A" w:rsidP="00E91CD3">
            <w:pPr>
              <w:spacing w:after="0" w:line="240" w:lineRule="auto"/>
              <w:jc w:val="center"/>
              <w:rPr>
                <w:rFonts w:ascii="Arial" w:hAnsi="Arial" w:cs="Arial"/>
                <w:sz w:val="16"/>
                <w:szCs w:val="16"/>
              </w:rPr>
            </w:pPr>
            <w:r>
              <w:rPr>
                <w:rFonts w:ascii="Arial" w:hAnsi="Arial" w:cs="Arial"/>
                <w:b/>
                <w:sz w:val="16"/>
                <w:szCs w:val="16"/>
              </w:rPr>
              <w:t xml:space="preserve">Total </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371A927E" w14:textId="77777777" w:rsidR="00845B7A" w:rsidRDefault="00845B7A" w:rsidP="00E91CD3">
            <w:pPr>
              <w:spacing w:after="0" w:line="240" w:lineRule="auto"/>
              <w:jc w:val="center"/>
              <w:rPr>
                <w:rFonts w:ascii="Arial" w:hAnsi="Arial" w:cs="Arial"/>
                <w:b/>
                <w:bCs/>
                <w:sz w:val="16"/>
                <w:szCs w:val="16"/>
              </w:rPr>
            </w:pPr>
            <w:r>
              <w:rPr>
                <w:rFonts w:ascii="Arial" w:hAnsi="Arial" w:cs="Arial"/>
                <w:b/>
                <w:bCs/>
                <w:sz w:val="16"/>
                <w:szCs w:val="16"/>
              </w:rPr>
              <w:t>610</w:t>
            </w:r>
          </w:p>
        </w:tc>
      </w:tr>
    </w:tbl>
    <w:p w14:paraId="0E592399" w14:textId="60C6315B"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2E6048C6" w14:textId="77777777" w:rsidR="00E91CD3" w:rsidRPr="00503B62"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00772C1B" w14:textId="77777777" w:rsidR="00E91CD3" w:rsidRDefault="00E91CD3">
      <w:r>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027941" w:rsidRPr="00E12C45" w14:paraId="28685389" w14:textId="77777777" w:rsidTr="004C1BE5">
        <w:tc>
          <w:tcPr>
            <w:tcW w:w="9016" w:type="dxa"/>
          </w:tcPr>
          <w:p w14:paraId="72044217" w14:textId="3ED4B02B" w:rsidR="00027941" w:rsidRPr="00503B62" w:rsidRDefault="00F540E2" w:rsidP="00E91CD3">
            <w:pPr>
              <w:rPr>
                <w:rFonts w:ascii="Arial" w:hAnsi="Arial" w:cs="Arial"/>
                <w:b/>
                <w:i/>
                <w:sz w:val="28"/>
                <w:szCs w:val="28"/>
              </w:rPr>
            </w:pPr>
            <w:r w:rsidRPr="00503B62">
              <w:rPr>
                <w:rFonts w:ascii="Arial" w:hAnsi="Arial" w:cs="Arial"/>
                <w:b/>
                <w:i/>
                <w:sz w:val="28"/>
                <w:szCs w:val="28"/>
              </w:rPr>
              <w:lastRenderedPageBreak/>
              <w:t xml:space="preserve">Asset class </w:t>
            </w:r>
            <w:r w:rsidR="00CE0230">
              <w:rPr>
                <w:rFonts w:ascii="Arial" w:hAnsi="Arial" w:cs="Arial"/>
                <w:b/>
                <w:i/>
                <w:sz w:val="28"/>
                <w:szCs w:val="28"/>
              </w:rPr>
              <w:t>–</w:t>
            </w:r>
            <w:r w:rsidRPr="00503B62">
              <w:rPr>
                <w:rFonts w:ascii="Arial" w:hAnsi="Arial" w:cs="Arial"/>
                <w:b/>
                <w:i/>
                <w:sz w:val="28"/>
                <w:szCs w:val="28"/>
              </w:rPr>
              <w:t xml:space="preserve"> </w:t>
            </w:r>
            <w:r w:rsidR="00027941" w:rsidRPr="00503B62">
              <w:rPr>
                <w:rFonts w:ascii="Arial" w:hAnsi="Arial" w:cs="Arial"/>
                <w:b/>
                <w:i/>
                <w:sz w:val="28"/>
                <w:szCs w:val="28"/>
              </w:rPr>
              <w:t xml:space="preserve">Other </w:t>
            </w:r>
          </w:p>
        </w:tc>
      </w:tr>
    </w:tbl>
    <w:p w14:paraId="18B28E4A" w14:textId="31FD3F2A" w:rsidR="00F93A1E" w:rsidRDefault="00F93A1E" w:rsidP="00E91CD3">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CE0230" w:rsidRPr="00501F5C" w14:paraId="276EA32C" w14:textId="77777777" w:rsidTr="004C1BE5">
        <w:tc>
          <w:tcPr>
            <w:tcW w:w="9016" w:type="dxa"/>
          </w:tcPr>
          <w:p w14:paraId="4E261E8B" w14:textId="77777777" w:rsidR="00CE0230" w:rsidRPr="00501F5C" w:rsidRDefault="00CE0230" w:rsidP="0030436D">
            <w:pPr>
              <w:pStyle w:val="Heading3"/>
              <w:outlineLvl w:val="2"/>
              <w:rPr>
                <w:rFonts w:ascii="Arial" w:hAnsi="Arial" w:cs="Arial"/>
                <w:b/>
                <w:bCs/>
                <w:i/>
                <w:iCs/>
                <w:color w:val="auto"/>
                <w:sz w:val="22"/>
                <w:szCs w:val="22"/>
              </w:rPr>
            </w:pPr>
            <w:bookmarkStart w:id="14" w:name="_Ref14259611"/>
            <w:r w:rsidRPr="00501F5C">
              <w:rPr>
                <w:rFonts w:ascii="Arial" w:hAnsi="Arial" w:cs="Arial"/>
                <w:b/>
                <w:bCs/>
                <w:i/>
                <w:iCs/>
                <w:color w:val="auto"/>
                <w:sz w:val="22"/>
                <w:szCs w:val="22"/>
              </w:rPr>
              <w:t>Product – Exchange Traded Funds</w:t>
            </w:r>
            <w:bookmarkEnd w:id="14"/>
          </w:p>
        </w:tc>
      </w:tr>
    </w:tbl>
    <w:p w14:paraId="5B6CF331" w14:textId="77777777" w:rsidR="00CE0230" w:rsidRDefault="00CE0230" w:rsidP="00E91CD3">
      <w:pPr>
        <w:spacing w:after="0" w:line="240" w:lineRule="auto"/>
        <w:rPr>
          <w:rFonts w:eastAsia="Times New Roman"/>
          <w:snapToGrid w:val="0"/>
          <w:lang w:eastAsia="fr-FR"/>
        </w:rPr>
      </w:pPr>
    </w:p>
    <w:p w14:paraId="6F21EC8A" w14:textId="1093DB93" w:rsidR="003455BD" w:rsidRPr="002A0760" w:rsidRDefault="00B102A1"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18"/>
        </w:rPr>
      </w:pPr>
      <w:r>
        <w:rPr>
          <w:rFonts w:ascii="Arial" w:hAnsi="Arial" w:cs="Arial"/>
          <w:sz w:val="20"/>
        </w:rPr>
        <w:t>Exchange traded funds (</w:t>
      </w:r>
      <w:r w:rsidRPr="00EE7EBF">
        <w:rPr>
          <w:rFonts w:ascii="Arial" w:hAnsi="Arial" w:cs="Arial"/>
          <w:sz w:val="20"/>
        </w:rPr>
        <w:t>ETFs</w:t>
      </w:r>
      <w:r>
        <w:rPr>
          <w:rFonts w:ascii="Arial" w:hAnsi="Arial" w:cs="Arial"/>
          <w:sz w:val="20"/>
        </w:rPr>
        <w:t>)</w:t>
      </w:r>
      <w:r w:rsidRPr="00EE7EBF">
        <w:rPr>
          <w:rFonts w:ascii="Arial" w:hAnsi="Arial" w:cs="Arial"/>
          <w:sz w:val="20"/>
        </w:rPr>
        <w:t xml:space="preserve"> are portfolio investment products that are admitted to listing or trading on a regulated exchange. An ETF provides investors with exposure to a diversified basket of shares or other financial instruments and aims to closely simulate the performance of a specified index or other benchmark. They are created and redeemed in response to demand from investors or arbitrage opportunities arising from the difference in price from the ETF and the price of the underlying asset(s) it seeks to track.”</w:t>
      </w:r>
    </w:p>
    <w:p w14:paraId="458D4ADD" w14:textId="77777777" w:rsidR="00E91CD3" w:rsidRDefault="00E91CD3" w:rsidP="00E91CD3">
      <w:pPr>
        <w:spacing w:after="0" w:line="240" w:lineRule="auto"/>
        <w:rPr>
          <w:rFonts w:ascii="Arial" w:eastAsia="Times New Roman" w:hAnsi="Arial" w:cs="Arial"/>
          <w:b/>
          <w:snapToGrid w:val="0"/>
          <w:spacing w:val="-3"/>
          <w:szCs w:val="20"/>
          <w:lang w:eastAsia="fr-FR"/>
        </w:rPr>
      </w:pPr>
    </w:p>
    <w:p w14:paraId="15096528" w14:textId="7424DF09"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Number listed</w:t>
      </w:r>
    </w:p>
    <w:p w14:paraId="247A72D2" w14:textId="58C7155E"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Value traded (EOB)</w:t>
      </w:r>
    </w:p>
    <w:p w14:paraId="08939A1D" w14:textId="7357A5C6"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Value traded (Negotiated Deals)</w:t>
      </w:r>
    </w:p>
    <w:p w14:paraId="218C0A60" w14:textId="3DD53C4D"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Number of trades (EOB)</w:t>
      </w:r>
    </w:p>
    <w:p w14:paraId="1476D56D" w14:textId="6D8A577A"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Number of trades (Negotiated Deals)</w:t>
      </w:r>
    </w:p>
    <w:p w14:paraId="6FBB4892"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26C25EF" w14:textId="587DDE05"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Number listed</w:t>
      </w:r>
      <w:r w:rsidR="00011D6A">
        <w:rPr>
          <w:rFonts w:ascii="Arial" w:hAnsi="Arial" w:cs="Arial"/>
          <w:spacing w:val="-3"/>
          <w:sz w:val="20"/>
        </w:rPr>
        <w:t xml:space="preserve"> is the number of ETFs </w:t>
      </w:r>
      <w:r>
        <w:rPr>
          <w:rFonts w:ascii="Arial" w:hAnsi="Arial" w:cs="Arial"/>
          <w:spacing w:val="-3"/>
          <w:sz w:val="20"/>
        </w:rPr>
        <w:t xml:space="preserve">listed or admitted to trading on an exchange </w:t>
      </w:r>
      <w:r w:rsidR="00011D6A">
        <w:rPr>
          <w:rFonts w:ascii="Arial" w:hAnsi="Arial" w:cs="Arial"/>
          <w:spacing w:val="-3"/>
          <w:sz w:val="20"/>
        </w:rPr>
        <w:t xml:space="preserve">at the end of the period. </w:t>
      </w:r>
    </w:p>
    <w:p w14:paraId="56EBC8D8"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FE527EF" w14:textId="7EDBF24F"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w:t>
      </w:r>
      <w:r w:rsidR="00207B43">
        <w:rPr>
          <w:rFonts w:ascii="Arial" w:hAnsi="Arial" w:cs="Arial"/>
          <w:spacing w:val="-3"/>
          <w:sz w:val="20"/>
        </w:rPr>
        <w:t xml:space="preserve"> </w:t>
      </w:r>
      <w:r w:rsidR="00207B43" w:rsidRPr="00207B43">
        <w:rPr>
          <w:rFonts w:ascii="Arial" w:hAnsi="Arial" w:cs="Arial"/>
          <w:spacing w:val="-3"/>
          <w:sz w:val="20"/>
        </w:rPr>
        <w:t>is the total number of</w:t>
      </w:r>
      <w:r w:rsidR="00207B43">
        <w:rPr>
          <w:rFonts w:ascii="Arial" w:hAnsi="Arial" w:cs="Arial"/>
          <w:spacing w:val="-3"/>
          <w:sz w:val="20"/>
        </w:rPr>
        <w:t xml:space="preserve"> ETF</w:t>
      </w:r>
      <w:r w:rsidR="00207B43" w:rsidRPr="00207B43">
        <w:rPr>
          <w:rFonts w:ascii="Arial" w:hAnsi="Arial" w:cs="Arial"/>
          <w:spacing w:val="-3"/>
          <w:sz w:val="20"/>
        </w:rPr>
        <w:t xml:space="preserve"> shares traded, multiplied by their respective matching prices</w:t>
      </w:r>
      <w:r w:rsidR="00207B43">
        <w:rPr>
          <w:rFonts w:ascii="Arial" w:hAnsi="Arial" w:cs="Arial"/>
          <w:spacing w:val="-3"/>
          <w:sz w:val="20"/>
        </w:rPr>
        <w:t xml:space="preserve"> (or NAVs)</w:t>
      </w:r>
      <w:r w:rsidR="00207B43" w:rsidRPr="00207B43">
        <w:rPr>
          <w:rFonts w:ascii="Arial" w:hAnsi="Arial" w:cs="Arial"/>
          <w:spacing w:val="-3"/>
          <w:sz w:val="20"/>
        </w:rPr>
        <w:t xml:space="preserve">. </w:t>
      </w:r>
    </w:p>
    <w:p w14:paraId="3ADD4587"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C752D9F" w14:textId="2E84E1F5"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Number of trades</w:t>
      </w:r>
      <w:r w:rsidR="00207B43">
        <w:rPr>
          <w:rFonts w:ascii="Arial" w:hAnsi="Arial" w:cs="Arial"/>
          <w:spacing w:val="-3"/>
          <w:sz w:val="20"/>
        </w:rPr>
        <w:t xml:space="preserve"> is </w:t>
      </w:r>
      <w:r w:rsidR="00207B43" w:rsidRPr="00207B43">
        <w:rPr>
          <w:rFonts w:ascii="Arial" w:hAnsi="Arial" w:cs="Arial"/>
          <w:spacing w:val="-3"/>
          <w:sz w:val="20"/>
        </w:rPr>
        <w:t xml:space="preserve">the actual number of </w:t>
      </w:r>
      <w:r w:rsidR="00207B43">
        <w:rPr>
          <w:rFonts w:ascii="Arial" w:hAnsi="Arial" w:cs="Arial"/>
          <w:spacing w:val="-3"/>
          <w:sz w:val="20"/>
        </w:rPr>
        <w:t xml:space="preserve">ETF </w:t>
      </w:r>
      <w:r w:rsidR="00207B43" w:rsidRPr="00207B43">
        <w:rPr>
          <w:rFonts w:ascii="Arial" w:hAnsi="Arial" w:cs="Arial"/>
          <w:spacing w:val="-3"/>
          <w:sz w:val="20"/>
        </w:rPr>
        <w:t>transactions which have occurred dur</w:t>
      </w:r>
      <w:r w:rsidR="00207B43">
        <w:rPr>
          <w:rFonts w:ascii="Arial" w:hAnsi="Arial" w:cs="Arial"/>
          <w:spacing w:val="-3"/>
          <w:sz w:val="20"/>
        </w:rPr>
        <w:t>ing the period on the relevant e</w:t>
      </w:r>
      <w:r w:rsidR="00207B43" w:rsidRPr="00207B43">
        <w:rPr>
          <w:rFonts w:ascii="Arial" w:hAnsi="Arial" w:cs="Arial"/>
          <w:spacing w:val="-3"/>
          <w:sz w:val="20"/>
        </w:rPr>
        <w:t xml:space="preserve">xchange. </w:t>
      </w:r>
      <w:r w:rsidR="00011D6A">
        <w:rPr>
          <w:rFonts w:ascii="Arial" w:hAnsi="Arial" w:cs="Arial"/>
          <w:spacing w:val="-3"/>
          <w:sz w:val="20"/>
        </w:rPr>
        <w:t xml:space="preserve"> </w:t>
      </w:r>
      <w:r w:rsidR="00207B43">
        <w:rPr>
          <w:rFonts w:ascii="Arial" w:hAnsi="Arial" w:cs="Arial"/>
          <w:spacing w:val="-3"/>
          <w:sz w:val="20"/>
        </w:rPr>
        <w:t xml:space="preserve"> </w:t>
      </w:r>
    </w:p>
    <w:p w14:paraId="6BAF399A"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D043B1D" w14:textId="3C41BA50" w:rsidR="00F93A1E"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Value traded </w:t>
      </w:r>
      <w:r w:rsidR="00011D6A">
        <w:rPr>
          <w:rFonts w:ascii="Arial" w:hAnsi="Arial" w:cs="Arial"/>
          <w:spacing w:val="-3"/>
          <w:sz w:val="20"/>
        </w:rPr>
        <w:t xml:space="preserve">and the total number of trades are </w:t>
      </w:r>
      <w:r w:rsidR="00F93A1E">
        <w:rPr>
          <w:rFonts w:ascii="Arial" w:hAnsi="Arial" w:cs="Arial"/>
          <w:spacing w:val="-3"/>
          <w:sz w:val="20"/>
        </w:rPr>
        <w:t>presented</w:t>
      </w:r>
      <w:r w:rsidR="00F93A1E" w:rsidRPr="00490F9F">
        <w:rPr>
          <w:rFonts w:ascii="Arial" w:hAnsi="Arial" w:cs="Arial"/>
          <w:spacing w:val="-3"/>
          <w:sz w:val="20"/>
        </w:rPr>
        <w:t xml:space="preserve"> according to the facility / means used to execute the trade</w:t>
      </w:r>
      <w:r w:rsidR="00F93A1E">
        <w:rPr>
          <w:rFonts w:ascii="Arial" w:hAnsi="Arial" w:cs="Arial"/>
          <w:spacing w:val="-3"/>
          <w:sz w:val="20"/>
        </w:rPr>
        <w:t>, namely</w:t>
      </w:r>
      <w:r w:rsidR="00F93A1E" w:rsidRPr="00490F9F">
        <w:rPr>
          <w:rFonts w:ascii="Arial" w:hAnsi="Arial" w:cs="Arial"/>
          <w:spacing w:val="-3"/>
          <w:sz w:val="20"/>
        </w:rPr>
        <w:t>:</w:t>
      </w:r>
    </w:p>
    <w:p w14:paraId="40956229"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4E62E5A" w14:textId="012E7198" w:rsidR="0037183B"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p>
    <w:p w14:paraId="4D737158" w14:textId="5C5BADDD" w:rsidR="00F93A1E" w:rsidRPr="00954678"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szCs w:val="20"/>
          <w:u w:val="single"/>
        </w:rPr>
      </w:pPr>
      <w:r>
        <w:rPr>
          <w:rFonts w:ascii="Arial" w:hAnsi="Arial" w:cs="Arial"/>
          <w:color w:val="1F3864" w:themeColor="accent1" w:themeShade="80"/>
          <w:spacing w:val="-3"/>
          <w:sz w:val="20"/>
          <w:szCs w:val="20"/>
          <w:u w:val="single"/>
        </w:rPr>
        <w:fldChar w:fldCharType="begin"/>
      </w:r>
      <w:r>
        <w:rPr>
          <w:rFonts w:ascii="Arial" w:hAnsi="Arial" w:cs="Arial"/>
          <w:color w:val="1F3864" w:themeColor="accent1" w:themeShade="80"/>
          <w:spacing w:val="-3"/>
          <w:sz w:val="20"/>
          <w:szCs w:val="20"/>
          <w:u w:val="single"/>
        </w:rPr>
        <w:instrText xml:space="preserve"> REF _Ref13572784 \h </w:instrText>
      </w:r>
      <w:r w:rsidR="005B3C1C">
        <w:rPr>
          <w:rFonts w:ascii="Arial" w:hAnsi="Arial" w:cs="Arial"/>
          <w:color w:val="1F3864" w:themeColor="accent1" w:themeShade="80"/>
          <w:spacing w:val="-3"/>
          <w:sz w:val="20"/>
          <w:szCs w:val="20"/>
          <w:u w:val="single"/>
        </w:rPr>
        <w:instrText xml:space="preserve"> \* MERGEFORMAT </w:instrText>
      </w:r>
      <w:r>
        <w:rPr>
          <w:rFonts w:ascii="Arial" w:hAnsi="Arial" w:cs="Arial"/>
          <w:color w:val="1F3864" w:themeColor="accent1" w:themeShade="80"/>
          <w:spacing w:val="-3"/>
          <w:sz w:val="20"/>
          <w:szCs w:val="20"/>
          <w:u w:val="single"/>
        </w:rPr>
      </w:r>
      <w:r>
        <w:rPr>
          <w:rFonts w:ascii="Arial" w:hAnsi="Arial" w:cs="Arial"/>
          <w:color w:val="1F3864" w:themeColor="accent1" w:themeShade="80"/>
          <w:spacing w:val="-3"/>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Pr>
          <w:rFonts w:ascii="Arial" w:hAnsi="Arial" w:cs="Arial"/>
          <w:color w:val="1F3864" w:themeColor="accent1" w:themeShade="80"/>
          <w:spacing w:val="-3"/>
          <w:sz w:val="20"/>
          <w:szCs w:val="20"/>
          <w:u w:val="single"/>
        </w:rPr>
        <w:fldChar w:fldCharType="end"/>
      </w:r>
      <w:r w:rsidR="00207B43">
        <w:rPr>
          <w:rFonts w:ascii="Arial" w:hAnsi="Arial" w:cs="Arial"/>
          <w:color w:val="1F3864" w:themeColor="accent1" w:themeShade="80"/>
          <w:spacing w:val="-3"/>
          <w:sz w:val="20"/>
          <w:szCs w:val="20"/>
          <w:u w:val="single"/>
        </w:rPr>
        <w:t xml:space="preserve"> </w:t>
      </w:r>
    </w:p>
    <w:p w14:paraId="550C049B" w14:textId="77777777" w:rsidR="00011D6A" w:rsidRPr="00F64C43" w:rsidRDefault="00011D6A"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00FD5813" w14:textId="6C431123" w:rsidR="00E45760" w:rsidRDefault="00011D6A" w:rsidP="00E91CD3">
      <w:pPr>
        <w:spacing w:after="0" w:line="240" w:lineRule="auto"/>
        <w:rPr>
          <w:rFonts w:ascii="Arial" w:hAnsi="Arial" w:cs="Arial"/>
          <w:spacing w:val="-3"/>
          <w:sz w:val="20"/>
        </w:rPr>
      </w:pPr>
      <w:r w:rsidRPr="00954678">
        <w:rPr>
          <w:rFonts w:ascii="Arial" w:hAnsi="Arial" w:cs="Arial"/>
          <w:spacing w:val="-3"/>
          <w:sz w:val="20"/>
        </w:rPr>
        <w:t>T</w:t>
      </w:r>
      <w:r>
        <w:rPr>
          <w:rFonts w:ascii="Arial" w:hAnsi="Arial" w:cs="Arial"/>
          <w:spacing w:val="-3"/>
          <w:sz w:val="20"/>
        </w:rPr>
        <w:t xml:space="preserve">rading indicators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 xml:space="preserve">i.e., include </w:t>
      </w:r>
      <w:r w:rsidR="00122786" w:rsidRPr="00490F9F">
        <w:rPr>
          <w:rFonts w:ascii="Arial" w:hAnsi="Arial" w:cs="Arial"/>
          <w:spacing w:val="-3"/>
          <w:sz w:val="20"/>
        </w:rPr>
        <w:t>one side of the transaction only).</w:t>
      </w:r>
    </w:p>
    <w:p w14:paraId="63F56BFD" w14:textId="593CC7EA" w:rsidR="00D123BD" w:rsidRDefault="00D123BD" w:rsidP="00E91CD3">
      <w:pPr>
        <w:spacing w:after="0" w:line="240" w:lineRule="auto"/>
        <w:rPr>
          <w:rFonts w:ascii="Arial" w:hAnsi="Arial" w:cs="Arial"/>
          <w:spacing w:val="-3"/>
          <w:sz w:val="20"/>
        </w:rPr>
      </w:pPr>
    </w:p>
    <w:p w14:paraId="6FF1B478" w14:textId="5DEBB34E" w:rsidR="00D123BD" w:rsidRPr="00F83A1B" w:rsidRDefault="00D123BD" w:rsidP="00D123BD">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ETP Market capitalisation</w:t>
      </w:r>
    </w:p>
    <w:p w14:paraId="0BCE3148" w14:textId="77777777" w:rsidR="00D123BD" w:rsidRDefault="00D123BD" w:rsidP="00E91CD3">
      <w:pPr>
        <w:spacing w:after="0" w:line="240" w:lineRule="auto"/>
        <w:rPr>
          <w:rFonts w:ascii="Arial" w:hAnsi="Arial" w:cs="Arial"/>
          <w:spacing w:val="-3"/>
          <w:sz w:val="20"/>
        </w:rPr>
      </w:pPr>
    </w:p>
    <w:p w14:paraId="497A28B4" w14:textId="77777777" w:rsidR="000E6C53" w:rsidRPr="004B5EB9" w:rsidRDefault="000E6C53" w:rsidP="000E6C53">
      <w:pPr>
        <w:pStyle w:val="Default"/>
        <w:jc w:val="both"/>
        <w:rPr>
          <w:rFonts w:asciiTheme="minorHAnsi" w:hAnsiTheme="minorHAnsi"/>
          <w:b/>
        </w:rPr>
      </w:pPr>
      <w:r w:rsidRPr="00A96CFA">
        <w:rPr>
          <w:rFonts w:asciiTheme="minorHAnsi" w:hAnsiTheme="minorHAnsi"/>
          <w:b/>
        </w:rPr>
        <w:t>Exchange Traded Product (ETP)</w:t>
      </w:r>
      <w:r w:rsidRPr="00A96CFA">
        <w:rPr>
          <w:rFonts w:asciiTheme="minorHAnsi" w:hAnsiTheme="minorHAnsi"/>
        </w:rPr>
        <w:t>: A security priced so that its value is derived from other investment instruments including</w:t>
      </w:r>
      <w:r>
        <w:rPr>
          <w:rFonts w:asciiTheme="minorHAnsi" w:hAnsiTheme="minorHAnsi"/>
        </w:rPr>
        <w:t xml:space="preserve"> (but not restricted to)</w:t>
      </w:r>
      <w:r w:rsidRPr="00A96CFA">
        <w:rPr>
          <w:rFonts w:asciiTheme="minorHAnsi" w:hAnsiTheme="minorHAnsi"/>
        </w:rPr>
        <w:t>: commodities, currencies, share prices, bond prices, interest rates and/or indices comprising one of more of these. An ETP is an open-ended instrument (that is, its shares may be created or redeemed after the initial offering)</w:t>
      </w:r>
      <w:r>
        <w:rPr>
          <w:rFonts w:asciiTheme="minorHAnsi" w:hAnsiTheme="minorHAnsi"/>
        </w:rPr>
        <w:t>,</w:t>
      </w:r>
      <w:r w:rsidRPr="00A96CFA">
        <w:rPr>
          <w:rFonts w:asciiTheme="minorHAnsi" w:hAnsiTheme="minorHAnsi"/>
        </w:rPr>
        <w:t xml:space="preserve"> listed and traded on a regulated exchange</w:t>
      </w:r>
      <w:r>
        <w:rPr>
          <w:rFonts w:asciiTheme="minorHAnsi" w:hAnsiTheme="minorHAnsi"/>
        </w:rPr>
        <w:t>. ETPs</w:t>
      </w:r>
      <w:r w:rsidRPr="00A96CFA">
        <w:rPr>
          <w:rFonts w:asciiTheme="minorHAnsi" w:hAnsiTheme="minorHAnsi"/>
        </w:rPr>
        <w:t xml:space="preserve"> trade and settle like a share and trade intra-day. An ETP can be both passively or actively managed. ETPs do not include warrants and certificates. </w:t>
      </w:r>
    </w:p>
    <w:p w14:paraId="6E785CCD" w14:textId="77777777" w:rsidR="000E6C53" w:rsidRPr="00A96CFA" w:rsidRDefault="000E6C53" w:rsidP="000E6C53">
      <w:pPr>
        <w:pStyle w:val="Default"/>
        <w:jc w:val="both"/>
        <w:rPr>
          <w:rFonts w:asciiTheme="minorHAnsi" w:hAnsiTheme="minorHAnsi"/>
        </w:rPr>
      </w:pPr>
    </w:p>
    <w:p w14:paraId="1A8D1564" w14:textId="77777777" w:rsidR="000E6C53" w:rsidRPr="00A96CFA" w:rsidRDefault="000E6C53" w:rsidP="000E6C53">
      <w:pPr>
        <w:jc w:val="both"/>
        <w:rPr>
          <w:rFonts w:cs="Times New Roman"/>
          <w:sz w:val="24"/>
          <w:szCs w:val="24"/>
        </w:rPr>
      </w:pPr>
      <w:r w:rsidRPr="00A96CFA">
        <w:rPr>
          <w:rFonts w:cs="Times New Roman"/>
          <w:b/>
          <w:sz w:val="24"/>
          <w:szCs w:val="24"/>
        </w:rPr>
        <w:t>ETP Market Capitalisation</w:t>
      </w:r>
      <w:r w:rsidRPr="00A96CFA">
        <w:rPr>
          <w:rFonts w:cs="Times New Roman"/>
          <w:sz w:val="24"/>
          <w:szCs w:val="24"/>
        </w:rPr>
        <w:t xml:space="preserve">: The ETP market capitalisation of a stock exchange is the total number of shares outstanding of ETPs listed on the exchange (as defined </w:t>
      </w:r>
      <w:r>
        <w:rPr>
          <w:rFonts w:cs="Times New Roman"/>
          <w:sz w:val="24"/>
          <w:szCs w:val="24"/>
        </w:rPr>
        <w:t>above</w:t>
      </w:r>
      <w:r w:rsidRPr="00A96CFA">
        <w:rPr>
          <w:rFonts w:cs="Times New Roman"/>
          <w:sz w:val="24"/>
          <w:szCs w:val="24"/>
        </w:rPr>
        <w:t xml:space="preserve">), multiplied by their respective closing prices, as of the last trading day of the month. </w:t>
      </w:r>
    </w:p>
    <w:p w14:paraId="317A6CFA" w14:textId="28C88FAC" w:rsidR="000E6C53" w:rsidRPr="00A96CFA" w:rsidRDefault="000E6C53" w:rsidP="000E6C53">
      <w:pPr>
        <w:spacing w:after="0" w:line="240" w:lineRule="auto"/>
        <w:jc w:val="both"/>
        <w:rPr>
          <w:rFonts w:cs="Times New Roman"/>
          <w:sz w:val="24"/>
          <w:szCs w:val="24"/>
        </w:rPr>
      </w:pPr>
      <w:r w:rsidRPr="00A96CFA">
        <w:rPr>
          <w:rFonts w:cs="Times New Roman"/>
          <w:sz w:val="24"/>
          <w:szCs w:val="24"/>
        </w:rPr>
        <w:t xml:space="preserve">More </w:t>
      </w:r>
      <w:r>
        <w:rPr>
          <w:rFonts w:cs="Times New Roman"/>
          <w:sz w:val="24"/>
          <w:szCs w:val="24"/>
        </w:rPr>
        <w:t>specifically</w:t>
      </w:r>
      <w:r w:rsidRPr="00A96CFA">
        <w:rPr>
          <w:rFonts w:cs="Times New Roman"/>
          <w:sz w:val="24"/>
          <w:szCs w:val="24"/>
        </w:rPr>
        <w:t xml:space="preserve">, for each listed instrument, ETP Market Capitalisation (MC) is defined as the product of the Number of Shares Outstanding (NSO) and their </w:t>
      </w:r>
      <w:r w:rsidR="00DE7413">
        <w:rPr>
          <w:rFonts w:cs="Times New Roman"/>
          <w:sz w:val="24"/>
          <w:szCs w:val="24"/>
        </w:rPr>
        <w:t>Net Asset Values (NAVs)</w:t>
      </w:r>
      <w:r w:rsidRPr="00A96CFA">
        <w:rPr>
          <w:rFonts w:cs="Times New Roman"/>
          <w:sz w:val="24"/>
          <w:szCs w:val="24"/>
        </w:rPr>
        <w:t xml:space="preserve"> on the last trading day of the month. Formally, for ETP </w:t>
      </w:r>
      <w:proofErr w:type="spellStart"/>
      <w:r w:rsidRPr="00A96CFA">
        <w:rPr>
          <w:rFonts w:cs="Times New Roman"/>
          <w:i/>
          <w:sz w:val="24"/>
          <w:szCs w:val="24"/>
        </w:rPr>
        <w:t>i</w:t>
      </w:r>
      <w:proofErr w:type="spellEnd"/>
      <w:r w:rsidRPr="00A96CFA">
        <w:rPr>
          <w:rFonts w:cs="Times New Roman"/>
          <w:sz w:val="24"/>
          <w:szCs w:val="24"/>
        </w:rPr>
        <w:t xml:space="preserve"> at time </w:t>
      </w:r>
      <w:r w:rsidRPr="00A96CFA">
        <w:rPr>
          <w:rFonts w:cs="Times New Roman"/>
          <w:i/>
          <w:sz w:val="24"/>
          <w:szCs w:val="24"/>
        </w:rPr>
        <w:t>t</w:t>
      </w:r>
      <w:r w:rsidRPr="00A96CFA">
        <w:rPr>
          <w:rFonts w:cs="Times New Roman"/>
          <w:sz w:val="24"/>
          <w:szCs w:val="24"/>
        </w:rPr>
        <w:t>:</w:t>
      </w:r>
    </w:p>
    <w:p w14:paraId="40B38FE2" w14:textId="77777777" w:rsidR="000E6C53" w:rsidRPr="00A96CFA" w:rsidRDefault="000E6C53" w:rsidP="000E6C53">
      <w:pPr>
        <w:spacing w:after="0" w:line="240" w:lineRule="auto"/>
        <w:jc w:val="both"/>
        <w:rPr>
          <w:rFonts w:cs="Times New Roman"/>
          <w:sz w:val="24"/>
          <w:szCs w:val="24"/>
          <w:lang w:eastAsia="en-GB"/>
        </w:rPr>
      </w:pPr>
    </w:p>
    <w:p w14:paraId="43A39B81" w14:textId="3F990F09" w:rsidR="000E6C53" w:rsidRPr="00A96CFA" w:rsidRDefault="000E6C53" w:rsidP="000E6C53">
      <w:pPr>
        <w:jc w:val="both"/>
        <w:rPr>
          <w:rFonts w:eastAsiaTheme="minorEastAsia" w:cs="Times New Roman"/>
          <w:sz w:val="24"/>
          <w:szCs w:val="24"/>
        </w:rPr>
      </w:pPr>
      <m:oMathPara>
        <m:oMath>
          <m:r>
            <w:rPr>
              <w:rFonts w:ascii="Cambria Math" w:hAnsi="Cambria Math" w:cs="Times New Roman"/>
              <w:sz w:val="24"/>
              <w:szCs w:val="24"/>
            </w:rPr>
            <m:t xml:space="preserve">Instrument-level </m:t>
          </m:r>
          <m:sSub>
            <m:sSubPr>
              <m:ctrlPr>
                <w:rPr>
                  <w:rFonts w:ascii="Cambria Math" w:hAnsi="Cambria Math" w:cs="Times New Roman"/>
                  <w:i/>
                  <w:sz w:val="24"/>
                  <w:szCs w:val="24"/>
                </w:rPr>
              </m:ctrlPr>
            </m:sSubPr>
            <m:e>
              <m:r>
                <w:rPr>
                  <w:rFonts w:ascii="Cambria Math" w:hAnsi="Cambria Math" w:cs="Times New Roman"/>
                  <w:sz w:val="24"/>
                  <w:szCs w:val="24"/>
                </w:rPr>
                <m:t>ETP MC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NSO</m:t>
              </m:r>
            </m:e>
            <m:sub>
              <m:r>
                <w:rPr>
                  <w:rFonts w:ascii="Cambria Math" w:hAnsi="Cambria Math" w:cs="Times New Roman"/>
                  <w:sz w:val="24"/>
                  <w:szCs w:val="24"/>
                </w:rPr>
                <m:t>it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NAV</m:t>
              </m:r>
            </m:e>
            <m:sub>
              <m:r>
                <w:rPr>
                  <w:rFonts w:ascii="Cambria Math" w:hAnsi="Cambria Math" w:cs="Times New Roman"/>
                  <w:sz w:val="24"/>
                  <w:szCs w:val="24"/>
                </w:rPr>
                <m:t>it</m:t>
              </m:r>
            </m:sub>
          </m:sSub>
          <m:r>
            <w:rPr>
              <w:rFonts w:ascii="Cambria Math" w:hAnsi="Cambria Math" w:cs="Times New Roman"/>
              <w:sz w:val="24"/>
              <w:szCs w:val="24"/>
            </w:rPr>
            <m:t xml:space="preserve"> (1)</m:t>
          </m:r>
        </m:oMath>
      </m:oMathPara>
    </w:p>
    <w:p w14:paraId="76918BDC" w14:textId="77777777" w:rsidR="000E6C53" w:rsidRPr="00A96CFA" w:rsidRDefault="000E6C53" w:rsidP="000E6C53">
      <w:pPr>
        <w:jc w:val="both"/>
        <w:rPr>
          <w:rFonts w:cs="Times New Roman"/>
          <w:sz w:val="24"/>
          <w:szCs w:val="24"/>
        </w:rPr>
      </w:pPr>
      <w:r w:rsidRPr="00A96CFA">
        <w:rPr>
          <w:rFonts w:cs="Times New Roman"/>
          <w:sz w:val="24"/>
          <w:szCs w:val="24"/>
        </w:rPr>
        <w:lastRenderedPageBreak/>
        <w:t xml:space="preserve">Exchange-level </w:t>
      </w:r>
      <w:r>
        <w:rPr>
          <w:rFonts w:cs="Times New Roman"/>
          <w:sz w:val="24"/>
          <w:szCs w:val="24"/>
        </w:rPr>
        <w:t xml:space="preserve">ETP </w:t>
      </w:r>
      <w:r w:rsidRPr="00A96CFA">
        <w:rPr>
          <w:rFonts w:cs="Times New Roman"/>
          <w:sz w:val="24"/>
          <w:szCs w:val="24"/>
        </w:rPr>
        <w:t xml:space="preserve">market capitalisation at time </w:t>
      </w:r>
      <w:r w:rsidRPr="00A96CFA">
        <w:rPr>
          <w:rFonts w:cs="Times New Roman"/>
          <w:i/>
          <w:sz w:val="24"/>
          <w:szCs w:val="24"/>
        </w:rPr>
        <w:t>t</w:t>
      </w:r>
      <w:r w:rsidRPr="00A96CFA">
        <w:rPr>
          <w:rFonts w:cs="Times New Roman"/>
          <w:sz w:val="24"/>
          <w:szCs w:val="24"/>
        </w:rPr>
        <w:t xml:space="preserve"> is found by summing the market capitalisation of all ETPs listed on an exchange. Formally:</w:t>
      </w:r>
    </w:p>
    <w:p w14:paraId="48AF7B9F" w14:textId="77777777" w:rsidR="000E6C53" w:rsidRPr="00A96CFA" w:rsidRDefault="00F05665" w:rsidP="000E6C53">
      <w:pPr>
        <w:jc w:val="both"/>
        <w:rPr>
          <w:rFonts w:eastAsiaTheme="minorEastAsia"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Exchange-level ETP MC</m:t>
              </m:r>
            </m:e>
            <m:sub>
              <m:r>
                <w:rPr>
                  <w:rFonts w:ascii="Cambria Math" w:eastAsiaTheme="minorEastAsia" w:hAnsi="Cambria Math" w:cs="Times New Roman"/>
                  <w:sz w:val="24"/>
                  <w:szCs w:val="24"/>
                </w:rPr>
                <m:t>t</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ETP MC</m:t>
                  </m:r>
                </m:e>
                <m:sub>
                  <m:r>
                    <w:rPr>
                      <w:rFonts w:ascii="Cambria Math" w:hAnsi="Cambria Math" w:cs="Times New Roman"/>
                      <w:sz w:val="24"/>
                      <w:szCs w:val="24"/>
                    </w:rPr>
                    <m:t>it</m:t>
                  </m:r>
                </m:sub>
              </m:sSub>
              <m:r>
                <w:rPr>
                  <w:rFonts w:ascii="Cambria Math" w:hAnsi="Cambria Math" w:cs="Times New Roman"/>
                  <w:sz w:val="24"/>
                  <w:szCs w:val="24"/>
                </w:rPr>
                <m:t xml:space="preserve"> (2)</m:t>
              </m:r>
            </m:e>
          </m:nary>
        </m:oMath>
      </m:oMathPara>
    </w:p>
    <w:p w14:paraId="0F26509E" w14:textId="77777777" w:rsidR="000E6C53" w:rsidRPr="00A96CFA" w:rsidRDefault="000E6C53" w:rsidP="000E6C53">
      <w:pPr>
        <w:jc w:val="both"/>
        <w:rPr>
          <w:rFonts w:cs="Times New Roman"/>
          <w:sz w:val="24"/>
          <w:szCs w:val="24"/>
        </w:rPr>
      </w:pPr>
      <w:r w:rsidRPr="00A96CFA">
        <w:rPr>
          <w:rFonts w:cs="Times New Roman"/>
          <w:sz w:val="24"/>
          <w:szCs w:val="24"/>
        </w:rPr>
        <w:t xml:space="preserve">Where </w:t>
      </w:r>
      <w:r w:rsidRPr="00A96CFA">
        <w:rPr>
          <w:rFonts w:cs="Times New Roman"/>
          <w:i/>
          <w:sz w:val="24"/>
          <w:szCs w:val="24"/>
        </w:rPr>
        <w:t>n</w:t>
      </w:r>
      <w:r w:rsidRPr="00A96CFA">
        <w:rPr>
          <w:rFonts w:cs="Times New Roman"/>
          <w:sz w:val="24"/>
          <w:szCs w:val="24"/>
        </w:rPr>
        <w:t xml:space="preserve"> is the number of ETPs listed on the exchange. </w:t>
      </w:r>
    </w:p>
    <w:p w14:paraId="4BEF664F" w14:textId="1C409437" w:rsidR="000E6C53" w:rsidRPr="00A96CFA" w:rsidRDefault="000E6C53" w:rsidP="000E6C53">
      <w:pPr>
        <w:jc w:val="both"/>
        <w:rPr>
          <w:rFonts w:cs="Times New Roman"/>
          <w:sz w:val="24"/>
          <w:szCs w:val="24"/>
        </w:rPr>
      </w:pPr>
      <w:r w:rsidRPr="00A96CFA">
        <w:rPr>
          <w:rFonts w:cs="Times New Roman"/>
          <w:sz w:val="24"/>
          <w:szCs w:val="24"/>
        </w:rPr>
        <w:t xml:space="preserve">Submitting exchanges unable to use </w:t>
      </w:r>
      <w:r w:rsidR="00BE1960">
        <w:rPr>
          <w:rFonts w:cs="Times New Roman"/>
          <w:sz w:val="24"/>
          <w:szCs w:val="24"/>
        </w:rPr>
        <w:t>NAVs</w:t>
      </w:r>
      <w:r w:rsidRPr="00A96CFA">
        <w:rPr>
          <w:rFonts w:cs="Times New Roman"/>
          <w:sz w:val="24"/>
          <w:szCs w:val="24"/>
        </w:rPr>
        <w:t xml:space="preserve"> can instead use </w:t>
      </w:r>
      <w:r w:rsidR="00DE7413">
        <w:rPr>
          <w:rFonts w:cs="Times New Roman"/>
          <w:sz w:val="24"/>
          <w:szCs w:val="24"/>
        </w:rPr>
        <w:t>Closing Prices</w:t>
      </w:r>
      <w:r w:rsidRPr="00A96CFA">
        <w:rPr>
          <w:rFonts w:cs="Times New Roman"/>
          <w:sz w:val="24"/>
          <w:szCs w:val="24"/>
        </w:rPr>
        <w:t xml:space="preserve"> (</w:t>
      </w:r>
      <w:r w:rsidR="00DE7413">
        <w:rPr>
          <w:rFonts w:cs="Times New Roman"/>
          <w:sz w:val="24"/>
          <w:szCs w:val="24"/>
        </w:rPr>
        <w:t>CPs</w:t>
      </w:r>
      <w:r w:rsidRPr="00A96CFA">
        <w:rPr>
          <w:rFonts w:cs="Times New Roman"/>
          <w:sz w:val="24"/>
          <w:szCs w:val="24"/>
        </w:rPr>
        <w:t>)</w:t>
      </w:r>
      <w:r>
        <w:rPr>
          <w:rFonts w:cs="Times New Roman"/>
          <w:sz w:val="24"/>
          <w:szCs w:val="24"/>
        </w:rPr>
        <w:t>.</w:t>
      </w:r>
      <w:r w:rsidRPr="00A96CFA">
        <w:rPr>
          <w:rFonts w:cs="Times New Roman"/>
          <w:sz w:val="24"/>
          <w:szCs w:val="24"/>
        </w:rPr>
        <w:t xml:space="preserve"> Formally: </w:t>
      </w:r>
    </w:p>
    <w:p w14:paraId="3A34C548" w14:textId="7C31F3B4" w:rsidR="000E6C53" w:rsidRPr="00A96CFA" w:rsidRDefault="000E6C53" w:rsidP="000E6C53">
      <w:pPr>
        <w:jc w:val="both"/>
        <w:rPr>
          <w:rFonts w:eastAsiaTheme="minorEastAsia" w:cs="Times New Roman"/>
          <w:sz w:val="24"/>
          <w:szCs w:val="24"/>
        </w:rPr>
      </w:pPr>
      <m:oMathPara>
        <m:oMath>
          <m:r>
            <w:rPr>
              <w:rFonts w:ascii="Cambria Math" w:hAnsi="Cambria Math" w:cs="Times New Roman"/>
              <w:sz w:val="24"/>
              <w:szCs w:val="24"/>
            </w:rPr>
            <m:t xml:space="preserve">Instrument-level </m:t>
          </m:r>
          <m:sSub>
            <m:sSubPr>
              <m:ctrlPr>
                <w:rPr>
                  <w:rFonts w:ascii="Cambria Math" w:hAnsi="Cambria Math" w:cs="Times New Roman"/>
                  <w:i/>
                  <w:sz w:val="24"/>
                  <w:szCs w:val="24"/>
                </w:rPr>
              </m:ctrlPr>
            </m:sSubPr>
            <m:e>
              <m:r>
                <w:rPr>
                  <w:rFonts w:ascii="Cambria Math" w:hAnsi="Cambria Math" w:cs="Times New Roman"/>
                  <w:sz w:val="24"/>
                  <w:szCs w:val="24"/>
                </w:rPr>
                <m:t>ETP MC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NSO</m:t>
              </m:r>
            </m:e>
            <m:sub>
              <m:r>
                <w:rPr>
                  <w:rFonts w:ascii="Cambria Math" w:hAnsi="Cambria Math" w:cs="Times New Roman"/>
                  <w:sz w:val="24"/>
                  <w:szCs w:val="24"/>
                </w:rPr>
                <m:t>it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CP</m:t>
              </m:r>
            </m:e>
            <m:sub>
              <m:r>
                <w:rPr>
                  <w:rFonts w:ascii="Cambria Math" w:hAnsi="Cambria Math" w:cs="Times New Roman"/>
                  <w:sz w:val="24"/>
                  <w:szCs w:val="24"/>
                </w:rPr>
                <m:t>it</m:t>
              </m:r>
            </m:sub>
          </m:sSub>
          <m:r>
            <w:rPr>
              <w:rFonts w:ascii="Cambria Math" w:hAnsi="Cambria Math" w:cs="Times New Roman"/>
              <w:sz w:val="24"/>
              <w:szCs w:val="24"/>
            </w:rPr>
            <m:t xml:space="preserve"> (1a)</m:t>
          </m:r>
        </m:oMath>
      </m:oMathPara>
    </w:p>
    <w:p w14:paraId="15813A2B" w14:textId="77777777" w:rsidR="000E6C53" w:rsidRDefault="000E6C53" w:rsidP="000E6C53">
      <w:pPr>
        <w:jc w:val="both"/>
        <w:rPr>
          <w:rFonts w:cs="Times New Roman"/>
          <w:sz w:val="24"/>
          <w:szCs w:val="24"/>
        </w:rPr>
      </w:pPr>
      <w:r w:rsidRPr="00A96CFA">
        <w:rPr>
          <w:rFonts w:cs="Times New Roman"/>
          <w:sz w:val="24"/>
          <w:szCs w:val="24"/>
        </w:rPr>
        <w:t xml:space="preserve">Exchange-level ETP Market Capitalisation would be still calculated as per equation (2). </w:t>
      </w:r>
    </w:p>
    <w:p w14:paraId="19A14363" w14:textId="55D9C504" w:rsidR="000E6C53" w:rsidRPr="00A96CFA" w:rsidRDefault="000E6C53" w:rsidP="000E6C53">
      <w:pPr>
        <w:jc w:val="both"/>
        <w:rPr>
          <w:rFonts w:cs="Times New Roman"/>
          <w:sz w:val="24"/>
          <w:szCs w:val="24"/>
        </w:rPr>
      </w:pPr>
      <w:r>
        <w:rPr>
          <w:rFonts w:cs="Times New Roman"/>
          <w:sz w:val="24"/>
          <w:szCs w:val="24"/>
        </w:rPr>
        <w:t xml:space="preserve">Exchanges using NAV instead of the closing price </w:t>
      </w:r>
      <w:r w:rsidRPr="00A96CFA">
        <w:rPr>
          <w:rFonts w:cs="Times New Roman"/>
          <w:sz w:val="24"/>
          <w:szCs w:val="24"/>
        </w:rPr>
        <w:t xml:space="preserve">should </w:t>
      </w:r>
      <w:r w:rsidR="00DE7413">
        <w:rPr>
          <w:rFonts w:cs="Times New Roman"/>
          <w:sz w:val="24"/>
          <w:szCs w:val="24"/>
          <w:u w:val="single"/>
        </w:rPr>
        <w:t>please notify the WFE office</w:t>
      </w:r>
      <w:r w:rsidRPr="00A96CFA">
        <w:rPr>
          <w:rFonts w:cs="Times New Roman"/>
          <w:sz w:val="24"/>
          <w:szCs w:val="24"/>
          <w:u w:val="single"/>
        </w:rPr>
        <w:t xml:space="preserve"> </w:t>
      </w:r>
      <w:r>
        <w:rPr>
          <w:rFonts w:cs="Times New Roman"/>
          <w:sz w:val="24"/>
          <w:szCs w:val="24"/>
        </w:rPr>
        <w:t xml:space="preserve">that </w:t>
      </w:r>
      <w:r w:rsidRPr="00A96CFA">
        <w:rPr>
          <w:rFonts w:cs="Times New Roman"/>
          <w:sz w:val="24"/>
          <w:szCs w:val="24"/>
        </w:rPr>
        <w:t>this is the methodology they follow.</w:t>
      </w:r>
    </w:p>
    <w:p w14:paraId="5AA2F68B" w14:textId="6706B9A8" w:rsidR="000E6C53" w:rsidRPr="00A96CFA" w:rsidRDefault="000E6C53" w:rsidP="000E6C53">
      <w:pPr>
        <w:jc w:val="both"/>
        <w:rPr>
          <w:rFonts w:cs="Times New Roman"/>
          <w:sz w:val="24"/>
          <w:szCs w:val="24"/>
        </w:rPr>
      </w:pPr>
      <w:r w:rsidRPr="00A96CFA">
        <w:rPr>
          <w:rFonts w:cs="Times New Roman"/>
          <w:sz w:val="24"/>
          <w:szCs w:val="24"/>
        </w:rPr>
        <w:t xml:space="preserve">Submitting exchanges that can calculate and/or submit data on a day </w:t>
      </w:r>
      <w:r>
        <w:rPr>
          <w:rFonts w:cs="Times New Roman"/>
          <w:sz w:val="24"/>
          <w:szCs w:val="24"/>
        </w:rPr>
        <w:t>other than</w:t>
      </w:r>
      <w:r w:rsidRPr="00A96CFA">
        <w:rPr>
          <w:rFonts w:cs="Times New Roman"/>
          <w:sz w:val="24"/>
          <w:szCs w:val="24"/>
        </w:rPr>
        <w:t xml:space="preserve"> the last trading day of the month but should </w:t>
      </w:r>
      <w:r w:rsidRPr="00A96CFA">
        <w:rPr>
          <w:rFonts w:cs="Times New Roman"/>
          <w:sz w:val="24"/>
          <w:szCs w:val="24"/>
          <w:u w:val="single"/>
        </w:rPr>
        <w:t>indicate what reporting timeframe they are using</w:t>
      </w:r>
      <w:r w:rsidR="00DE7413">
        <w:rPr>
          <w:rFonts w:cs="Times New Roman"/>
          <w:sz w:val="24"/>
          <w:szCs w:val="24"/>
          <w:u w:val="single"/>
        </w:rPr>
        <w:t xml:space="preserve"> and please notify the WFE office</w:t>
      </w:r>
      <w:r w:rsidRPr="00A96CFA">
        <w:rPr>
          <w:rFonts w:cs="Times New Roman"/>
          <w:sz w:val="24"/>
          <w:szCs w:val="24"/>
        </w:rPr>
        <w:t xml:space="preserve">. </w:t>
      </w:r>
    </w:p>
    <w:p w14:paraId="6A1FA9EF" w14:textId="7C9CB4AB" w:rsidR="00D123BD" w:rsidRPr="0082693A" w:rsidRDefault="007A1AB7" w:rsidP="0082693A">
      <w:pPr>
        <w:jc w:val="both"/>
      </w:pPr>
      <w:r>
        <w:rPr>
          <w:rFonts w:cs="Times New Roman"/>
          <w:b/>
          <w:sz w:val="24"/>
          <w:szCs w:val="24"/>
        </w:rPr>
        <w:t>Cross-listing</w:t>
      </w:r>
      <w:r w:rsidR="00DE7413">
        <w:rPr>
          <w:rFonts w:cs="Times New Roman"/>
          <w:b/>
          <w:sz w:val="24"/>
          <w:szCs w:val="24"/>
        </w:rPr>
        <w:t xml:space="preserve"> (European exchanges):</w:t>
      </w:r>
      <w:r w:rsidR="000E6C53">
        <w:rPr>
          <w:sz w:val="24"/>
          <w:szCs w:val="24"/>
        </w:rPr>
        <w:t xml:space="preserve"> </w:t>
      </w:r>
      <w:r>
        <w:rPr>
          <w:sz w:val="24"/>
          <w:szCs w:val="24"/>
        </w:rPr>
        <w:t xml:space="preserve">European exchanges should submit </w:t>
      </w:r>
      <w:r w:rsidR="00891EBE">
        <w:rPr>
          <w:sz w:val="24"/>
          <w:szCs w:val="24"/>
        </w:rPr>
        <w:t xml:space="preserve">granular information on all ETPs listed on their jurisdictions (ISINs and </w:t>
      </w:r>
      <w:r w:rsidR="000907F1">
        <w:rPr>
          <w:sz w:val="24"/>
          <w:szCs w:val="24"/>
        </w:rPr>
        <w:t xml:space="preserve">fund names), and the calculation of ETP market capitalisation will be performed </w:t>
      </w:r>
      <w:r w:rsidR="0082693A">
        <w:rPr>
          <w:sz w:val="24"/>
          <w:szCs w:val="24"/>
        </w:rPr>
        <w:t xml:space="preserve">by the WFE </w:t>
      </w:r>
      <w:r w:rsidR="000907F1">
        <w:rPr>
          <w:sz w:val="24"/>
          <w:szCs w:val="24"/>
        </w:rPr>
        <w:t>at a regional level</w:t>
      </w:r>
      <w:r w:rsidR="0082693A">
        <w:rPr>
          <w:sz w:val="24"/>
          <w:szCs w:val="24"/>
        </w:rPr>
        <w:t>.</w:t>
      </w:r>
    </w:p>
    <w:tbl>
      <w:tblPr>
        <w:tblStyle w:val="TableGrid"/>
        <w:tblW w:w="0" w:type="auto"/>
        <w:tblCellMar>
          <w:top w:w="57" w:type="dxa"/>
          <w:bottom w:w="57" w:type="dxa"/>
        </w:tblCellMar>
        <w:tblLook w:val="04A0" w:firstRow="1" w:lastRow="0" w:firstColumn="1" w:lastColumn="0" w:noHBand="0" w:noVBand="1"/>
      </w:tblPr>
      <w:tblGrid>
        <w:gridCol w:w="9016"/>
      </w:tblGrid>
      <w:tr w:rsidR="00E45760" w:rsidRPr="00501F5C" w14:paraId="49A0983C" w14:textId="77777777" w:rsidTr="004C1BE5">
        <w:tc>
          <w:tcPr>
            <w:tcW w:w="9016" w:type="dxa"/>
          </w:tcPr>
          <w:p w14:paraId="60196766" w14:textId="7CCB73CC" w:rsidR="00E45760" w:rsidRPr="00501F5C" w:rsidRDefault="00E45760" w:rsidP="0030436D">
            <w:pPr>
              <w:pStyle w:val="Heading3"/>
              <w:outlineLvl w:val="2"/>
              <w:rPr>
                <w:rFonts w:ascii="Arial" w:hAnsi="Arial" w:cs="Arial"/>
                <w:b/>
                <w:bCs/>
                <w:i/>
                <w:iCs/>
                <w:color w:val="auto"/>
                <w:sz w:val="22"/>
                <w:szCs w:val="22"/>
              </w:rPr>
            </w:pPr>
            <w:bookmarkStart w:id="15" w:name="_Ref14259647"/>
            <w:r w:rsidRPr="00501F5C">
              <w:rPr>
                <w:rFonts w:ascii="Arial" w:hAnsi="Arial" w:cs="Arial"/>
                <w:b/>
                <w:bCs/>
                <w:i/>
                <w:iCs/>
                <w:color w:val="auto"/>
                <w:sz w:val="22"/>
                <w:szCs w:val="22"/>
              </w:rPr>
              <w:t>Product – Investment Funds</w:t>
            </w:r>
            <w:bookmarkEnd w:id="15"/>
          </w:p>
        </w:tc>
      </w:tr>
    </w:tbl>
    <w:p w14:paraId="2280AD62" w14:textId="674EA989" w:rsidR="00E45760" w:rsidRDefault="00E4576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5225014A" w14:textId="3BB0CFCF" w:rsidR="001A0167" w:rsidRDefault="001A016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Investment funds include UCITS, listed unit trusts, closed-end funds, investment trusts. They are collective funds managed by an investment trust company (a company established with the purpose of investing in other companies) or a management team. UCITS, listed unit trusts, closed-end funds and investment trusts are all different forms of collective investment, depending on a country's legislation. </w:t>
      </w:r>
    </w:p>
    <w:p w14:paraId="4CA86B30" w14:textId="77777777" w:rsidR="00E91CD3" w:rsidRDefault="00E91CD3" w:rsidP="00E91CD3">
      <w:pPr>
        <w:spacing w:after="0" w:line="240" w:lineRule="auto"/>
        <w:rPr>
          <w:rFonts w:ascii="Arial" w:eastAsia="Times New Roman" w:hAnsi="Arial" w:cs="Arial"/>
          <w:b/>
          <w:snapToGrid w:val="0"/>
          <w:spacing w:val="-3"/>
          <w:szCs w:val="20"/>
          <w:lang w:eastAsia="fr-FR"/>
        </w:rPr>
      </w:pPr>
    </w:p>
    <w:p w14:paraId="1F32875B" w14:textId="3EDD58E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listed</w:t>
      </w:r>
    </w:p>
    <w:p w14:paraId="707F6BF2" w14:textId="7777777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(EOB)</w:t>
      </w:r>
    </w:p>
    <w:p w14:paraId="635D2477" w14:textId="7777777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(Negotiated Deals)</w:t>
      </w:r>
    </w:p>
    <w:p w14:paraId="074CC552" w14:textId="7777777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(EOB)</w:t>
      </w:r>
    </w:p>
    <w:p w14:paraId="4FCAEC5F" w14:textId="0F8B2836" w:rsidR="00E45760" w:rsidRDefault="001A0167" w:rsidP="00E91CD3">
      <w:pPr>
        <w:spacing w:after="0" w:line="240" w:lineRule="auto"/>
        <w:rPr>
          <w:rFonts w:ascii="Arial" w:hAnsi="Arial" w:cs="Arial"/>
          <w:sz w:val="20"/>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(Negotiated Deals)</w:t>
      </w:r>
    </w:p>
    <w:p w14:paraId="2839E4E4"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10700F7" w14:textId="4900368F"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listed is the number of investment funds listed or admitted to trading on an exchange at the end of the period. </w:t>
      </w:r>
    </w:p>
    <w:p w14:paraId="625923C9"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4BCD4E1" w14:textId="500EC99B"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w:t>
      </w:r>
      <w:r w:rsidR="00207B43">
        <w:rPr>
          <w:rFonts w:ascii="Arial" w:hAnsi="Arial" w:cs="Arial"/>
          <w:spacing w:val="-3"/>
          <w:sz w:val="20"/>
        </w:rPr>
        <w:t xml:space="preserve"> </w:t>
      </w:r>
      <w:r w:rsidR="00207B43" w:rsidRPr="00207B43">
        <w:rPr>
          <w:rFonts w:ascii="Arial" w:hAnsi="Arial" w:cs="Arial"/>
          <w:spacing w:val="-3"/>
          <w:sz w:val="20"/>
        </w:rPr>
        <w:t>is the total number of</w:t>
      </w:r>
      <w:r w:rsidR="00207B43">
        <w:rPr>
          <w:rFonts w:ascii="Arial" w:hAnsi="Arial" w:cs="Arial"/>
          <w:spacing w:val="-3"/>
          <w:sz w:val="20"/>
        </w:rPr>
        <w:t xml:space="preserve"> investment funds</w:t>
      </w:r>
      <w:r w:rsidR="00207B43" w:rsidRPr="00207B43">
        <w:rPr>
          <w:rFonts w:ascii="Arial" w:hAnsi="Arial" w:cs="Arial"/>
          <w:spacing w:val="-3"/>
          <w:sz w:val="20"/>
        </w:rPr>
        <w:t xml:space="preserve"> traded, multiplied by their respective matching prices. </w:t>
      </w:r>
    </w:p>
    <w:p w14:paraId="01C31630"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B3F8AB7" w14:textId="10BEC61E"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of trades is </w:t>
      </w:r>
      <w:r w:rsidRPr="00207B43">
        <w:rPr>
          <w:rFonts w:ascii="Arial" w:hAnsi="Arial" w:cs="Arial"/>
          <w:spacing w:val="-3"/>
          <w:sz w:val="20"/>
        </w:rPr>
        <w:t xml:space="preserve">the actual number of </w:t>
      </w:r>
      <w:r>
        <w:rPr>
          <w:rFonts w:ascii="Arial" w:hAnsi="Arial" w:cs="Arial"/>
          <w:spacing w:val="-3"/>
          <w:sz w:val="20"/>
        </w:rPr>
        <w:t xml:space="preserve">investment fund </w:t>
      </w:r>
      <w:r w:rsidRPr="00207B43">
        <w:rPr>
          <w:rFonts w:ascii="Arial" w:hAnsi="Arial" w:cs="Arial"/>
          <w:spacing w:val="-3"/>
          <w:sz w:val="20"/>
        </w:rPr>
        <w:t>transactions which have occurred du</w:t>
      </w:r>
      <w:r>
        <w:rPr>
          <w:rFonts w:ascii="Arial" w:hAnsi="Arial" w:cs="Arial"/>
          <w:spacing w:val="-3"/>
          <w:sz w:val="20"/>
        </w:rPr>
        <w:t>ring the period on the relevant e</w:t>
      </w:r>
      <w:r w:rsidRPr="00207B43">
        <w:rPr>
          <w:rFonts w:ascii="Arial" w:hAnsi="Arial" w:cs="Arial"/>
          <w:spacing w:val="-3"/>
          <w:sz w:val="20"/>
        </w:rPr>
        <w:t xml:space="preserve">xchange. </w:t>
      </w:r>
      <w:r>
        <w:rPr>
          <w:rFonts w:ascii="Arial" w:hAnsi="Arial" w:cs="Arial"/>
          <w:spacing w:val="-3"/>
          <w:sz w:val="20"/>
        </w:rPr>
        <w:t xml:space="preserve">  </w:t>
      </w:r>
    </w:p>
    <w:p w14:paraId="3927971F"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FB95330" w14:textId="3436E623" w:rsidR="00207B43" w:rsidRPr="00490F9F"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 and the total number of trades are presented</w:t>
      </w:r>
      <w:r w:rsidRPr="00490F9F">
        <w:rPr>
          <w:rFonts w:ascii="Arial" w:hAnsi="Arial" w:cs="Arial"/>
          <w:spacing w:val="-3"/>
          <w:sz w:val="20"/>
        </w:rPr>
        <w:t xml:space="preserve"> according to the facility / means used to execute the trade</w:t>
      </w:r>
      <w:r>
        <w:rPr>
          <w:rFonts w:ascii="Arial" w:hAnsi="Arial" w:cs="Arial"/>
          <w:spacing w:val="-3"/>
          <w:sz w:val="20"/>
        </w:rPr>
        <w:t>, namely</w:t>
      </w:r>
      <w:r w:rsidRPr="00490F9F">
        <w:rPr>
          <w:rFonts w:ascii="Arial" w:hAnsi="Arial" w:cs="Arial"/>
          <w:spacing w:val="-3"/>
          <w:sz w:val="20"/>
        </w:rPr>
        <w:t>:</w:t>
      </w:r>
    </w:p>
    <w:p w14:paraId="4B3A0CE0" w14:textId="76CACC6E" w:rsidR="00207B43"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r w:rsidR="00832339" w:rsidRPr="0037183B">
        <w:rPr>
          <w:rFonts w:ascii="Arial" w:hAnsi="Arial" w:cs="Arial"/>
          <w:color w:val="1F3864" w:themeColor="accent1" w:themeShade="80"/>
          <w:sz w:val="20"/>
          <w:szCs w:val="20"/>
          <w:u w:val="single"/>
        </w:rPr>
        <w:t xml:space="preserve"> </w:t>
      </w:r>
    </w:p>
    <w:p w14:paraId="33B947EF" w14:textId="150EDC78" w:rsidR="00207B43" w:rsidRPr="00D61ED2"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szCs w:val="20"/>
          <w:u w:val="single"/>
        </w:rPr>
      </w:pPr>
      <w:r w:rsidRPr="005B3C1C">
        <w:rPr>
          <w:rFonts w:ascii="Arial" w:hAnsi="Arial" w:cs="Arial"/>
          <w:color w:val="1F3864" w:themeColor="accent1" w:themeShade="80"/>
          <w:sz w:val="20"/>
          <w:szCs w:val="20"/>
          <w:u w:val="single"/>
        </w:rPr>
        <w:fldChar w:fldCharType="begin"/>
      </w:r>
      <w:r w:rsidRPr="005B3C1C">
        <w:rPr>
          <w:rFonts w:ascii="Arial" w:hAnsi="Arial" w:cs="Arial"/>
          <w:color w:val="1F3864" w:themeColor="accent1" w:themeShade="80"/>
          <w:sz w:val="20"/>
          <w:szCs w:val="20"/>
          <w:u w:val="single"/>
        </w:rPr>
        <w:instrText xml:space="preserve"> REF _Ref13572784 \h </w:instrText>
      </w:r>
      <w:r w:rsidR="005B3C1C">
        <w:rPr>
          <w:rFonts w:ascii="Arial" w:hAnsi="Arial" w:cs="Arial"/>
          <w:color w:val="1F3864" w:themeColor="accent1" w:themeShade="80"/>
          <w:sz w:val="20"/>
          <w:szCs w:val="20"/>
          <w:u w:val="single"/>
        </w:rPr>
        <w:instrText xml:space="preserve"> \* MERGEFORMAT </w:instrText>
      </w:r>
      <w:r w:rsidRPr="005B3C1C">
        <w:rPr>
          <w:rFonts w:ascii="Arial" w:hAnsi="Arial" w:cs="Arial"/>
          <w:color w:val="1F3864" w:themeColor="accent1" w:themeShade="80"/>
          <w:sz w:val="20"/>
          <w:szCs w:val="20"/>
          <w:u w:val="single"/>
        </w:rPr>
      </w:r>
      <w:r w:rsidRPr="005B3C1C">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sidRPr="005B3C1C">
        <w:rPr>
          <w:rFonts w:ascii="Arial" w:hAnsi="Arial" w:cs="Arial"/>
          <w:color w:val="1F3864" w:themeColor="accent1" w:themeShade="80"/>
          <w:sz w:val="20"/>
          <w:szCs w:val="20"/>
          <w:u w:val="single"/>
        </w:rPr>
        <w:fldChar w:fldCharType="end"/>
      </w:r>
      <w:r w:rsidR="00207B43">
        <w:rPr>
          <w:rFonts w:ascii="Arial" w:hAnsi="Arial" w:cs="Arial"/>
          <w:color w:val="1F3864" w:themeColor="accent1" w:themeShade="80"/>
          <w:spacing w:val="-3"/>
          <w:sz w:val="20"/>
          <w:szCs w:val="20"/>
          <w:u w:val="single"/>
        </w:rPr>
        <w:t xml:space="preserve"> </w:t>
      </w:r>
    </w:p>
    <w:p w14:paraId="66095A16" w14:textId="77777777" w:rsidR="00207B43" w:rsidRPr="00F64C43"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19287B18" w14:textId="4A41C598" w:rsidR="00207B4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sidRPr="00D61ED2">
        <w:rPr>
          <w:rFonts w:ascii="Arial" w:hAnsi="Arial" w:cs="Arial"/>
          <w:spacing w:val="-3"/>
          <w:sz w:val="20"/>
        </w:rPr>
        <w:t>T</w:t>
      </w:r>
      <w:r>
        <w:rPr>
          <w:rFonts w:ascii="Arial" w:hAnsi="Arial" w:cs="Arial"/>
          <w:spacing w:val="-3"/>
          <w:sz w:val="20"/>
        </w:rPr>
        <w:t xml:space="preserve">rading indicators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i.e., include</w:t>
      </w:r>
      <w:r w:rsidR="00122786" w:rsidRPr="00490F9F">
        <w:rPr>
          <w:rFonts w:ascii="Arial" w:hAnsi="Arial" w:cs="Arial"/>
          <w:spacing w:val="-3"/>
          <w:sz w:val="20"/>
        </w:rPr>
        <w:t xml:space="preserve"> one side of the transaction only).</w:t>
      </w:r>
    </w:p>
    <w:p w14:paraId="105E9FE3" w14:textId="77777777" w:rsidR="00207B43" w:rsidRPr="009C253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CC4B18" w:rsidRPr="00501F5C" w14:paraId="3269E6EA" w14:textId="77777777" w:rsidTr="004C1BE5">
        <w:tc>
          <w:tcPr>
            <w:tcW w:w="9016" w:type="dxa"/>
          </w:tcPr>
          <w:p w14:paraId="2CEA451B" w14:textId="01C4FEA3" w:rsidR="00CC4B18" w:rsidRPr="00501F5C" w:rsidRDefault="00CC4B18" w:rsidP="0030436D">
            <w:pPr>
              <w:pStyle w:val="Heading3"/>
              <w:outlineLvl w:val="2"/>
              <w:rPr>
                <w:rFonts w:ascii="Arial" w:hAnsi="Arial" w:cs="Arial"/>
                <w:b/>
                <w:bCs/>
                <w:i/>
                <w:iCs/>
                <w:color w:val="auto"/>
                <w:sz w:val="22"/>
                <w:szCs w:val="22"/>
              </w:rPr>
            </w:pPr>
            <w:bookmarkStart w:id="16" w:name="_Ref14259657"/>
            <w:r w:rsidRPr="00501F5C">
              <w:rPr>
                <w:rFonts w:ascii="Arial" w:hAnsi="Arial" w:cs="Arial"/>
                <w:b/>
                <w:bCs/>
                <w:i/>
                <w:iCs/>
                <w:color w:val="auto"/>
                <w:sz w:val="22"/>
                <w:szCs w:val="22"/>
              </w:rPr>
              <w:lastRenderedPageBreak/>
              <w:t xml:space="preserve">Product – Securitised </w:t>
            </w:r>
            <w:r w:rsidR="00703609" w:rsidRPr="00501F5C">
              <w:rPr>
                <w:rFonts w:ascii="Arial" w:hAnsi="Arial" w:cs="Arial"/>
                <w:b/>
                <w:bCs/>
                <w:i/>
                <w:iCs/>
                <w:color w:val="auto"/>
                <w:sz w:val="22"/>
                <w:szCs w:val="22"/>
              </w:rPr>
              <w:t>derivatives</w:t>
            </w:r>
            <w:bookmarkEnd w:id="16"/>
          </w:p>
        </w:tc>
      </w:tr>
    </w:tbl>
    <w:p w14:paraId="23CC6B23" w14:textId="77777777" w:rsidR="00CC4B18" w:rsidRDefault="00CC4B18"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726E1D87" w14:textId="3A710CA0" w:rsidR="008450B2" w:rsidRPr="009C2533" w:rsidRDefault="008450B2"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i/>
          <w:iCs/>
          <w:spacing w:val="-3"/>
          <w:sz w:val="20"/>
          <w:u w:val="single"/>
        </w:rPr>
      </w:pPr>
      <w:r>
        <w:rPr>
          <w:rFonts w:ascii="Arial" w:hAnsi="Arial" w:cs="Arial"/>
          <w:i/>
          <w:iCs/>
          <w:spacing w:val="-3"/>
          <w:sz w:val="20"/>
          <w:u w:val="single"/>
        </w:rPr>
        <w:t xml:space="preserve">Definition </w:t>
      </w:r>
    </w:p>
    <w:p w14:paraId="2ABA42CB" w14:textId="67463BE1"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A securitized derivatives product is a tradable financial instrument designed to meet specific investor needs and to respond to different investment strategies, by incorporating special, non-standard features.</w:t>
      </w:r>
    </w:p>
    <w:p w14:paraId="098EDEA6"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EDB3FAA" w14:textId="14728CC3"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These products are in general used for capital protection, hedging against exposure to national or foreign equities, indices variations, commodity and currency prices, arbitrage strategies, directional trading, etc. Each securitized derivatives product has its own characteristics. They are generally issued by intermediaries different from the issuer of the underlying financial instruments.</w:t>
      </w:r>
    </w:p>
    <w:p w14:paraId="59CBF433"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CD92D7E" w14:textId="731FD59E"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Securitized derivatives products include different types of instruments such as (but not limited to) covered warrants and certificates.</w:t>
      </w:r>
    </w:p>
    <w:p w14:paraId="1D6A579B"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B7DF8F4" w14:textId="0064284A"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Covered warrants incorporate an option to buy or sell other financial instruments; according to their features, may be distinguished between plain vanilla (underlying represented by a single product) and structured/exotic (more complex products whose underlying is represented by a basket of products, and/or incorporating combinations of call and/or put and/or exotic options). The underlying assets can be represented by equities, bonds, indices, currencies and commodities. In most cases covered warrants lead to a cash settlement, without the physical delivery of the underlying financial instruments.</w:t>
      </w:r>
    </w:p>
    <w:p w14:paraId="530225D7"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4D360B2" w14:textId="13AF9C0C"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Certificates track the performance of an underlying asset, often with a leverage effect (those without leverage being defined investment certificates”). They provide the investor the opportunity to spread risk with moderate capital and administration costs, thus making possible the investment in foreign or largely diversified assets.</w:t>
      </w:r>
    </w:p>
    <w:p w14:paraId="55ED2AD1" w14:textId="77777777" w:rsidR="008450B2" w:rsidRDefault="008450B2" w:rsidP="00E91CD3">
      <w:pPr>
        <w:spacing w:after="0" w:line="240" w:lineRule="auto"/>
        <w:rPr>
          <w:rFonts w:ascii="Arial" w:hAnsi="Arial" w:cs="Arial"/>
          <w:snapToGrid w:val="0"/>
          <w:spacing w:val="-3"/>
          <w:sz w:val="20"/>
        </w:rPr>
      </w:pPr>
    </w:p>
    <w:p w14:paraId="32E2CAE2" w14:textId="1BD50352"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listed</w:t>
      </w:r>
    </w:p>
    <w:p w14:paraId="418E1226"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(EOB)</w:t>
      </w:r>
    </w:p>
    <w:p w14:paraId="025B11AD"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(Negotiated Deals)</w:t>
      </w:r>
    </w:p>
    <w:p w14:paraId="7AC1D377"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(EOB)</w:t>
      </w:r>
    </w:p>
    <w:p w14:paraId="78DA7038"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(Negotiated Deals)</w:t>
      </w:r>
    </w:p>
    <w:p w14:paraId="0CD1818B" w14:textId="77777777" w:rsidR="00E45760" w:rsidRPr="00BE464F" w:rsidRDefault="00E45760" w:rsidP="00E91CD3">
      <w:pPr>
        <w:spacing w:after="0" w:line="240" w:lineRule="auto"/>
        <w:rPr>
          <w:rFonts w:ascii="Arial" w:hAnsi="Arial" w:cs="Arial"/>
          <w:snapToGrid w:val="0"/>
          <w:spacing w:val="-3"/>
          <w:sz w:val="20"/>
        </w:rPr>
      </w:pPr>
    </w:p>
    <w:p w14:paraId="38073503" w14:textId="7C390D68"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w:t>
      </w:r>
      <w:r w:rsidR="005B3C1C">
        <w:rPr>
          <w:rFonts w:ascii="Arial" w:hAnsi="Arial" w:cs="Arial"/>
          <w:spacing w:val="-3"/>
          <w:sz w:val="20"/>
        </w:rPr>
        <w:t>umber listed</w:t>
      </w:r>
      <w:r>
        <w:rPr>
          <w:rFonts w:ascii="Arial" w:hAnsi="Arial" w:cs="Arial"/>
          <w:spacing w:val="-3"/>
          <w:sz w:val="20"/>
        </w:rPr>
        <w:t xml:space="preserve"> is the number of securitised derivatives listed or admitted to trading on an exchange at the end of the period. </w:t>
      </w:r>
    </w:p>
    <w:p w14:paraId="07899893" w14:textId="0E953A06"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w:t>
      </w:r>
      <w:r w:rsidR="00207B43">
        <w:rPr>
          <w:rFonts w:ascii="Arial" w:hAnsi="Arial" w:cs="Arial"/>
          <w:spacing w:val="-3"/>
          <w:sz w:val="20"/>
        </w:rPr>
        <w:t xml:space="preserve"> </w:t>
      </w:r>
      <w:r w:rsidR="00207B43" w:rsidRPr="00207B43">
        <w:rPr>
          <w:rFonts w:ascii="Arial" w:hAnsi="Arial" w:cs="Arial"/>
          <w:spacing w:val="-3"/>
          <w:sz w:val="20"/>
        </w:rPr>
        <w:t>is the total number of</w:t>
      </w:r>
      <w:r w:rsidR="00207B43">
        <w:rPr>
          <w:rFonts w:ascii="Arial" w:hAnsi="Arial" w:cs="Arial"/>
          <w:spacing w:val="-3"/>
          <w:sz w:val="20"/>
        </w:rPr>
        <w:t xml:space="preserve"> securities derivatives</w:t>
      </w:r>
      <w:r w:rsidR="00207B43" w:rsidRPr="00207B43">
        <w:rPr>
          <w:rFonts w:ascii="Arial" w:hAnsi="Arial" w:cs="Arial"/>
          <w:spacing w:val="-3"/>
          <w:sz w:val="20"/>
        </w:rPr>
        <w:t xml:space="preserve"> traded, multiplied by their respective matching prices. </w:t>
      </w:r>
    </w:p>
    <w:p w14:paraId="44AEE2C5" w14:textId="5711517D"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Number of trades</w:t>
      </w:r>
      <w:r w:rsidR="00207B43">
        <w:rPr>
          <w:rFonts w:ascii="Arial" w:hAnsi="Arial" w:cs="Arial"/>
          <w:spacing w:val="-3"/>
          <w:sz w:val="20"/>
        </w:rPr>
        <w:t xml:space="preserve"> is </w:t>
      </w:r>
      <w:r w:rsidR="00207B43" w:rsidRPr="00207B43">
        <w:rPr>
          <w:rFonts w:ascii="Arial" w:hAnsi="Arial" w:cs="Arial"/>
          <w:spacing w:val="-3"/>
          <w:sz w:val="20"/>
        </w:rPr>
        <w:t xml:space="preserve">the actual number of </w:t>
      </w:r>
      <w:r w:rsidR="00207B43">
        <w:rPr>
          <w:rFonts w:ascii="Arial" w:hAnsi="Arial" w:cs="Arial"/>
          <w:spacing w:val="-3"/>
          <w:sz w:val="20"/>
        </w:rPr>
        <w:t>securities derivatives</w:t>
      </w:r>
      <w:r w:rsidR="00207B43" w:rsidRPr="00207B43">
        <w:rPr>
          <w:rFonts w:ascii="Arial" w:hAnsi="Arial" w:cs="Arial"/>
          <w:spacing w:val="-3"/>
          <w:sz w:val="20"/>
        </w:rPr>
        <w:t xml:space="preserve"> transactions which have occurred du</w:t>
      </w:r>
      <w:r w:rsidR="00207B43">
        <w:rPr>
          <w:rFonts w:ascii="Arial" w:hAnsi="Arial" w:cs="Arial"/>
          <w:spacing w:val="-3"/>
          <w:sz w:val="20"/>
        </w:rPr>
        <w:t>ring the period on the relevant e</w:t>
      </w:r>
      <w:r w:rsidR="00207B43" w:rsidRPr="00207B43">
        <w:rPr>
          <w:rFonts w:ascii="Arial" w:hAnsi="Arial" w:cs="Arial"/>
          <w:spacing w:val="-3"/>
          <w:sz w:val="20"/>
        </w:rPr>
        <w:t xml:space="preserve">xchange. </w:t>
      </w:r>
      <w:r w:rsidR="00207B43">
        <w:rPr>
          <w:rFonts w:ascii="Arial" w:hAnsi="Arial" w:cs="Arial"/>
          <w:spacing w:val="-3"/>
          <w:sz w:val="20"/>
        </w:rPr>
        <w:t xml:space="preserve">  </w:t>
      </w:r>
    </w:p>
    <w:p w14:paraId="043E6F38" w14:textId="77777777" w:rsidR="00207B43" w:rsidRPr="00490F9F"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 and the total number of trades are presented</w:t>
      </w:r>
      <w:r w:rsidRPr="00490F9F">
        <w:rPr>
          <w:rFonts w:ascii="Arial" w:hAnsi="Arial" w:cs="Arial"/>
          <w:spacing w:val="-3"/>
          <w:sz w:val="20"/>
        </w:rPr>
        <w:t xml:space="preserve"> according to the facility / means used to execute the trade</w:t>
      </w:r>
      <w:r>
        <w:rPr>
          <w:rFonts w:ascii="Arial" w:hAnsi="Arial" w:cs="Arial"/>
          <w:spacing w:val="-3"/>
          <w:sz w:val="20"/>
        </w:rPr>
        <w:t>, namely</w:t>
      </w:r>
      <w:r w:rsidRPr="00490F9F">
        <w:rPr>
          <w:rFonts w:ascii="Arial" w:hAnsi="Arial" w:cs="Arial"/>
          <w:spacing w:val="-3"/>
          <w:sz w:val="20"/>
        </w:rPr>
        <w:t>:</w:t>
      </w:r>
    </w:p>
    <w:p w14:paraId="6A3D6E0A" w14:textId="670ACDA4" w:rsidR="00207B43"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r w:rsidR="00832339" w:rsidRPr="0037183B">
        <w:rPr>
          <w:rFonts w:ascii="Arial" w:hAnsi="Arial" w:cs="Arial"/>
          <w:color w:val="1F3864" w:themeColor="accent1" w:themeShade="80"/>
          <w:sz w:val="20"/>
          <w:szCs w:val="20"/>
          <w:u w:val="single"/>
        </w:rPr>
        <w:t xml:space="preserve"> </w:t>
      </w:r>
    </w:p>
    <w:p w14:paraId="51B36666" w14:textId="3471F76A" w:rsidR="00207B43" w:rsidRPr="005B3C1C"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5B3C1C">
        <w:rPr>
          <w:rFonts w:ascii="Arial" w:hAnsi="Arial" w:cs="Arial"/>
          <w:color w:val="1F3864" w:themeColor="accent1" w:themeShade="80"/>
          <w:sz w:val="20"/>
          <w:szCs w:val="20"/>
          <w:u w:val="single"/>
        </w:rPr>
        <w:fldChar w:fldCharType="begin"/>
      </w:r>
      <w:r w:rsidRPr="005B3C1C">
        <w:rPr>
          <w:rFonts w:ascii="Arial" w:hAnsi="Arial" w:cs="Arial"/>
          <w:color w:val="1F3864" w:themeColor="accent1" w:themeShade="80"/>
          <w:sz w:val="20"/>
          <w:szCs w:val="20"/>
          <w:u w:val="single"/>
        </w:rPr>
        <w:instrText xml:space="preserve"> REF _Ref13572784 \h </w:instrText>
      </w:r>
      <w:r w:rsidR="005B3C1C">
        <w:rPr>
          <w:rFonts w:ascii="Arial" w:hAnsi="Arial" w:cs="Arial"/>
          <w:color w:val="1F3864" w:themeColor="accent1" w:themeShade="80"/>
          <w:sz w:val="20"/>
          <w:szCs w:val="20"/>
          <w:u w:val="single"/>
        </w:rPr>
        <w:instrText xml:space="preserve"> \* MERGEFORMAT </w:instrText>
      </w:r>
      <w:r w:rsidRPr="005B3C1C">
        <w:rPr>
          <w:rFonts w:ascii="Arial" w:hAnsi="Arial" w:cs="Arial"/>
          <w:color w:val="1F3864" w:themeColor="accent1" w:themeShade="80"/>
          <w:sz w:val="20"/>
          <w:szCs w:val="20"/>
          <w:u w:val="single"/>
        </w:rPr>
      </w:r>
      <w:r w:rsidRPr="005B3C1C">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sidRPr="005B3C1C">
        <w:rPr>
          <w:rFonts w:ascii="Arial" w:hAnsi="Arial" w:cs="Arial"/>
          <w:color w:val="1F3864" w:themeColor="accent1" w:themeShade="80"/>
          <w:sz w:val="20"/>
          <w:szCs w:val="20"/>
          <w:u w:val="single"/>
        </w:rPr>
        <w:fldChar w:fldCharType="end"/>
      </w:r>
      <w:r w:rsidR="00207B43" w:rsidRPr="005B3C1C">
        <w:rPr>
          <w:rFonts w:ascii="Arial" w:hAnsi="Arial" w:cs="Arial"/>
          <w:color w:val="1F3864" w:themeColor="accent1" w:themeShade="80"/>
          <w:sz w:val="20"/>
          <w:szCs w:val="20"/>
          <w:u w:val="single"/>
        </w:rPr>
        <w:t xml:space="preserve"> </w:t>
      </w:r>
    </w:p>
    <w:p w14:paraId="6A6C3F0E" w14:textId="77777777" w:rsidR="00207B43" w:rsidRPr="00F64C43"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55BBDA6B" w14:textId="7B53F79F" w:rsidR="00207B4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sidRPr="00D61ED2">
        <w:rPr>
          <w:rFonts w:ascii="Arial" w:hAnsi="Arial" w:cs="Arial"/>
          <w:spacing w:val="-3"/>
          <w:sz w:val="20"/>
        </w:rPr>
        <w:t>T</w:t>
      </w:r>
      <w:r>
        <w:rPr>
          <w:rFonts w:ascii="Arial" w:hAnsi="Arial" w:cs="Arial"/>
          <w:spacing w:val="-3"/>
          <w:sz w:val="20"/>
        </w:rPr>
        <w:t xml:space="preserve">rading indicators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i.e., include</w:t>
      </w:r>
      <w:r w:rsidR="00122786" w:rsidRPr="00490F9F">
        <w:rPr>
          <w:rFonts w:ascii="Arial" w:hAnsi="Arial" w:cs="Arial"/>
          <w:spacing w:val="-3"/>
          <w:sz w:val="20"/>
        </w:rPr>
        <w:t xml:space="preserve"> one side of the transaction only).</w:t>
      </w:r>
    </w:p>
    <w:p w14:paraId="6C8731BB" w14:textId="77777777" w:rsidR="00E45760" w:rsidRPr="00BE464F" w:rsidRDefault="00E45760" w:rsidP="00E91CD3">
      <w:pPr>
        <w:spacing w:after="0" w:line="240" w:lineRule="auto"/>
        <w:rPr>
          <w:rFonts w:ascii="Arial" w:hAnsi="Arial" w:cs="Arial"/>
          <w:snapToGrid w:val="0"/>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E12C45" w14:paraId="7A3519A5" w14:textId="77777777" w:rsidTr="00A84EA6">
        <w:tc>
          <w:tcPr>
            <w:tcW w:w="9016" w:type="dxa"/>
          </w:tcPr>
          <w:p w14:paraId="25E26B24" w14:textId="77777777" w:rsidR="005E192C" w:rsidRPr="00503B62" w:rsidRDefault="005E192C" w:rsidP="00A84EA6">
            <w:pPr>
              <w:rPr>
                <w:rFonts w:ascii="Arial" w:hAnsi="Arial" w:cs="Arial"/>
                <w:b/>
                <w:i/>
                <w:sz w:val="28"/>
                <w:szCs w:val="28"/>
              </w:rPr>
            </w:pPr>
            <w:r w:rsidRPr="00503B62">
              <w:rPr>
                <w:rFonts w:ascii="Arial" w:hAnsi="Arial" w:cs="Arial"/>
                <w:b/>
                <w:i/>
                <w:sz w:val="28"/>
                <w:szCs w:val="28"/>
              </w:rPr>
              <w:t xml:space="preserve">Asset class </w:t>
            </w:r>
            <w:r>
              <w:rPr>
                <w:rFonts w:ascii="Arial" w:hAnsi="Arial" w:cs="Arial"/>
                <w:b/>
                <w:i/>
                <w:sz w:val="28"/>
                <w:szCs w:val="28"/>
              </w:rPr>
              <w:t>–</w:t>
            </w:r>
            <w:r w:rsidRPr="00503B62">
              <w:rPr>
                <w:rFonts w:ascii="Arial" w:hAnsi="Arial" w:cs="Arial"/>
                <w:b/>
                <w:i/>
                <w:sz w:val="28"/>
                <w:szCs w:val="28"/>
              </w:rPr>
              <w:t xml:space="preserve"> Other </w:t>
            </w:r>
          </w:p>
        </w:tc>
      </w:tr>
    </w:tbl>
    <w:p w14:paraId="6225B96A" w14:textId="77777777" w:rsidR="005E192C" w:rsidRDefault="005E192C" w:rsidP="005E192C">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501F5C" w14:paraId="294C6D81" w14:textId="77777777" w:rsidTr="00A84EA6">
        <w:tc>
          <w:tcPr>
            <w:tcW w:w="9016" w:type="dxa"/>
          </w:tcPr>
          <w:p w14:paraId="5C46F5B1" w14:textId="77777777" w:rsidR="005E192C" w:rsidRPr="00501F5C" w:rsidRDefault="005E192C" w:rsidP="00A84EA6">
            <w:pPr>
              <w:pStyle w:val="Heading3"/>
              <w:outlineLvl w:val="2"/>
              <w:rPr>
                <w:rFonts w:ascii="Arial" w:hAnsi="Arial" w:cs="Arial"/>
                <w:b/>
                <w:bCs/>
                <w:i/>
                <w:iCs/>
                <w:color w:val="auto"/>
                <w:sz w:val="22"/>
                <w:szCs w:val="22"/>
              </w:rPr>
            </w:pPr>
            <w:r w:rsidRPr="00501F5C">
              <w:rPr>
                <w:rFonts w:ascii="Arial" w:hAnsi="Arial" w:cs="Arial"/>
                <w:b/>
                <w:bCs/>
                <w:i/>
                <w:iCs/>
                <w:color w:val="auto"/>
                <w:sz w:val="22"/>
                <w:szCs w:val="22"/>
              </w:rPr>
              <w:t xml:space="preserve">Product – </w:t>
            </w:r>
            <w:r>
              <w:rPr>
                <w:rFonts w:ascii="Arial" w:hAnsi="Arial" w:cs="Arial"/>
                <w:b/>
                <w:bCs/>
                <w:i/>
                <w:iCs/>
                <w:color w:val="auto"/>
                <w:sz w:val="22"/>
                <w:szCs w:val="22"/>
              </w:rPr>
              <w:t>REITS</w:t>
            </w:r>
          </w:p>
        </w:tc>
      </w:tr>
    </w:tbl>
    <w:p w14:paraId="7411BE69" w14:textId="77777777" w:rsidR="005E192C" w:rsidRDefault="005E192C" w:rsidP="005E192C">
      <w:pPr>
        <w:spacing w:after="0" w:line="240" w:lineRule="auto"/>
        <w:rPr>
          <w:rFonts w:eastAsia="Times New Roman"/>
          <w:snapToGrid w:val="0"/>
          <w:lang w:eastAsia="fr-FR"/>
        </w:rPr>
      </w:pPr>
    </w:p>
    <w:p w14:paraId="67C2A619" w14:textId="77777777" w:rsidR="005E192C" w:rsidRDefault="005E192C" w:rsidP="005E192C">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Real Estate Investment Trusts (REITS): a company </w:t>
      </w:r>
      <w:r w:rsidRPr="00743178">
        <w:rPr>
          <w:rFonts w:ascii="Arial" w:hAnsi="Arial" w:cs="Arial"/>
          <w:color w:val="FF0000"/>
          <w:sz w:val="20"/>
        </w:rPr>
        <w:t>or a fund</w:t>
      </w:r>
      <w:r>
        <w:rPr>
          <w:rFonts w:ascii="Arial" w:hAnsi="Arial" w:cs="Arial"/>
          <w:sz w:val="20"/>
        </w:rPr>
        <w:t>, listed and traded on an exchange, whose purpose is to invest</w:t>
      </w:r>
      <w:r w:rsidRPr="0018233A">
        <w:rPr>
          <w:rFonts w:ascii="Arial" w:hAnsi="Arial" w:cs="Arial"/>
          <w:sz w:val="20"/>
        </w:rPr>
        <w:t xml:space="preserve"> in property</w:t>
      </w:r>
      <w:r>
        <w:rPr>
          <w:rFonts w:ascii="Arial" w:hAnsi="Arial" w:cs="Arial"/>
          <w:sz w:val="20"/>
        </w:rPr>
        <w:t xml:space="preserve"> or finance</w:t>
      </w:r>
      <w:r w:rsidRPr="0018233A">
        <w:rPr>
          <w:rFonts w:ascii="Arial" w:hAnsi="Arial" w:cs="Arial"/>
          <w:sz w:val="20"/>
        </w:rPr>
        <w:t xml:space="preserve"> income-generating real estate</w:t>
      </w:r>
      <w:r>
        <w:rPr>
          <w:rFonts w:ascii="Arial" w:hAnsi="Arial" w:cs="Arial"/>
          <w:sz w:val="20"/>
        </w:rPr>
        <w:t>/</w:t>
      </w:r>
      <w:r w:rsidRPr="00743178">
        <w:rPr>
          <w:rFonts w:ascii="Arial" w:hAnsi="Arial" w:cs="Arial"/>
          <w:color w:val="FF0000"/>
          <w:sz w:val="20"/>
        </w:rPr>
        <w:t>infrastructure</w:t>
      </w:r>
      <w:r>
        <w:rPr>
          <w:rFonts w:ascii="Arial" w:hAnsi="Arial" w:cs="Arial"/>
          <w:sz w:val="20"/>
        </w:rPr>
        <w:t xml:space="preserve">. REITs pool the </w:t>
      </w:r>
      <w:r w:rsidRPr="0018233A">
        <w:rPr>
          <w:rFonts w:ascii="Arial" w:hAnsi="Arial" w:cs="Arial"/>
          <w:sz w:val="20"/>
        </w:rPr>
        <w:t>capital of numerous investors</w:t>
      </w:r>
      <w:r>
        <w:rPr>
          <w:rFonts w:ascii="Arial" w:hAnsi="Arial" w:cs="Arial"/>
          <w:sz w:val="20"/>
        </w:rPr>
        <w:t xml:space="preserve"> and, similarly to a mutual fund, </w:t>
      </w:r>
      <w:r w:rsidRPr="0018233A">
        <w:rPr>
          <w:rFonts w:ascii="Arial" w:hAnsi="Arial" w:cs="Arial"/>
          <w:sz w:val="20"/>
        </w:rPr>
        <w:t>sells shares in those investments</w:t>
      </w:r>
      <w:r>
        <w:rPr>
          <w:rFonts w:ascii="Arial" w:hAnsi="Arial" w:cs="Arial"/>
          <w:sz w:val="20"/>
        </w:rPr>
        <w:t xml:space="preserve">, providing the holder with exposure to real estate investment without buying, managing or financing any properties themselves. </w:t>
      </w:r>
    </w:p>
    <w:p w14:paraId="316AF2E9" w14:textId="77777777" w:rsidR="005E192C" w:rsidRDefault="005E192C" w:rsidP="005E192C">
      <w:pPr>
        <w:spacing w:after="0" w:line="240" w:lineRule="auto"/>
        <w:rPr>
          <w:rFonts w:ascii="Arial" w:eastAsia="Times New Roman" w:hAnsi="Arial" w:cs="Arial"/>
          <w:b/>
          <w:snapToGrid w:val="0"/>
          <w:spacing w:val="-3"/>
          <w:szCs w:val="20"/>
          <w:lang w:eastAsia="fr-FR"/>
        </w:rPr>
      </w:pPr>
    </w:p>
    <w:p w14:paraId="6EF5A8B6" w14:textId="77777777" w:rsidR="005E192C"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Market capitalisation</w:t>
      </w:r>
    </w:p>
    <w:p w14:paraId="615646AD"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lastRenderedPageBreak/>
        <w:t xml:space="preserve">Indicator: </w:t>
      </w:r>
      <w:r w:rsidRPr="00F83A1B">
        <w:rPr>
          <w:rFonts w:ascii="Arial" w:eastAsia="Times New Roman" w:hAnsi="Arial" w:cs="Arial"/>
          <w:b/>
          <w:snapToGrid w:val="0"/>
          <w:spacing w:val="-3"/>
          <w:szCs w:val="20"/>
          <w:lang w:eastAsia="fr-FR"/>
        </w:rPr>
        <w:t>Number listed</w:t>
      </w:r>
    </w:p>
    <w:p w14:paraId="45E23EBA"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(EOB)</w:t>
      </w:r>
    </w:p>
    <w:p w14:paraId="138D4448"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(Negotiated Deals)</w:t>
      </w:r>
    </w:p>
    <w:p w14:paraId="2D814869"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(EOB)</w:t>
      </w:r>
    </w:p>
    <w:p w14:paraId="53C3BE35"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(Negotiated Deals)</w:t>
      </w:r>
    </w:p>
    <w:p w14:paraId="1764DDD5"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39F0169"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Market capitalisation is calculated as the total number of REITS units multiplied by their respective closing prices (or NAVs) at the end of the month.</w:t>
      </w:r>
    </w:p>
    <w:p w14:paraId="5605C221"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F5538A"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listed is the number of REITS listed or admitted to trading on an exchange at the end of the month. </w:t>
      </w:r>
    </w:p>
    <w:p w14:paraId="1F92B006"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9779651"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Value traded </w:t>
      </w:r>
      <w:r w:rsidRPr="00207B43">
        <w:rPr>
          <w:rFonts w:ascii="Arial" w:hAnsi="Arial" w:cs="Arial"/>
          <w:spacing w:val="-3"/>
          <w:sz w:val="20"/>
        </w:rPr>
        <w:t>is the total number of</w:t>
      </w:r>
      <w:r>
        <w:rPr>
          <w:rFonts w:ascii="Arial" w:hAnsi="Arial" w:cs="Arial"/>
          <w:spacing w:val="-3"/>
          <w:sz w:val="20"/>
        </w:rPr>
        <w:t xml:space="preserve"> REITS</w:t>
      </w:r>
      <w:r w:rsidRPr="00207B43">
        <w:rPr>
          <w:rFonts w:ascii="Arial" w:hAnsi="Arial" w:cs="Arial"/>
          <w:spacing w:val="-3"/>
          <w:sz w:val="20"/>
        </w:rPr>
        <w:t xml:space="preserve"> traded, multiplied by their respective matching prices</w:t>
      </w:r>
      <w:r>
        <w:rPr>
          <w:rFonts w:ascii="Arial" w:hAnsi="Arial" w:cs="Arial"/>
          <w:spacing w:val="-3"/>
          <w:sz w:val="20"/>
        </w:rPr>
        <w:t xml:space="preserve"> (or NAVs) during a month</w:t>
      </w:r>
      <w:r w:rsidRPr="00207B43">
        <w:rPr>
          <w:rFonts w:ascii="Arial" w:hAnsi="Arial" w:cs="Arial"/>
          <w:spacing w:val="-3"/>
          <w:sz w:val="20"/>
        </w:rPr>
        <w:t xml:space="preserve">. </w:t>
      </w:r>
    </w:p>
    <w:p w14:paraId="5BCE8DD8"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E24914E"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of trades is </w:t>
      </w:r>
      <w:r w:rsidRPr="00207B43">
        <w:rPr>
          <w:rFonts w:ascii="Arial" w:hAnsi="Arial" w:cs="Arial"/>
          <w:spacing w:val="-3"/>
          <w:sz w:val="20"/>
        </w:rPr>
        <w:t xml:space="preserve">the actual number of </w:t>
      </w:r>
      <w:r>
        <w:rPr>
          <w:rFonts w:ascii="Arial" w:hAnsi="Arial" w:cs="Arial"/>
          <w:spacing w:val="-3"/>
          <w:sz w:val="20"/>
        </w:rPr>
        <w:t xml:space="preserve">REITS </w:t>
      </w:r>
      <w:r w:rsidRPr="00207B43">
        <w:rPr>
          <w:rFonts w:ascii="Arial" w:hAnsi="Arial" w:cs="Arial"/>
          <w:spacing w:val="-3"/>
          <w:sz w:val="20"/>
        </w:rPr>
        <w:t>transactions which have occurred dur</w:t>
      </w:r>
      <w:r>
        <w:rPr>
          <w:rFonts w:ascii="Arial" w:hAnsi="Arial" w:cs="Arial"/>
          <w:spacing w:val="-3"/>
          <w:sz w:val="20"/>
        </w:rPr>
        <w:t>ing a month on the relevant e</w:t>
      </w:r>
      <w:r w:rsidRPr="00207B43">
        <w:rPr>
          <w:rFonts w:ascii="Arial" w:hAnsi="Arial" w:cs="Arial"/>
          <w:spacing w:val="-3"/>
          <w:sz w:val="20"/>
        </w:rPr>
        <w:t xml:space="preserve">xchange. </w:t>
      </w:r>
      <w:r>
        <w:rPr>
          <w:rFonts w:ascii="Arial" w:hAnsi="Arial" w:cs="Arial"/>
          <w:spacing w:val="-3"/>
          <w:sz w:val="20"/>
        </w:rPr>
        <w:t xml:space="preserve">  </w:t>
      </w:r>
    </w:p>
    <w:p w14:paraId="7BE71E25"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C7C7636"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 and the total number of trades are presented</w:t>
      </w:r>
      <w:r w:rsidRPr="00490F9F">
        <w:rPr>
          <w:rFonts w:ascii="Arial" w:hAnsi="Arial" w:cs="Arial"/>
          <w:spacing w:val="-3"/>
          <w:sz w:val="20"/>
        </w:rPr>
        <w:t xml:space="preserve"> according to the facility / means used to execute the trade</w:t>
      </w:r>
      <w:r>
        <w:rPr>
          <w:rFonts w:ascii="Arial" w:hAnsi="Arial" w:cs="Arial"/>
          <w:spacing w:val="-3"/>
          <w:sz w:val="20"/>
        </w:rPr>
        <w:t>, namely</w:t>
      </w:r>
      <w:r w:rsidRPr="00490F9F">
        <w:rPr>
          <w:rFonts w:ascii="Arial" w:hAnsi="Arial" w:cs="Arial"/>
          <w:spacing w:val="-3"/>
          <w:sz w:val="20"/>
        </w:rPr>
        <w:t>:</w:t>
      </w:r>
    </w:p>
    <w:p w14:paraId="7DCFF0B9" w14:textId="77777777" w:rsidR="005E192C" w:rsidRPr="00490F9F"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D52D3D5" w14:textId="77777777" w:rsidR="005E192C" w:rsidRPr="0037183B"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p>
    <w:p w14:paraId="5D955823" w14:textId="77777777" w:rsidR="005E192C" w:rsidRPr="00954678"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szCs w:val="20"/>
          <w:u w:val="single"/>
        </w:rPr>
      </w:pPr>
      <w:r>
        <w:rPr>
          <w:rFonts w:ascii="Arial" w:hAnsi="Arial" w:cs="Arial"/>
          <w:color w:val="1F3864" w:themeColor="accent1" w:themeShade="80"/>
          <w:spacing w:val="-3"/>
          <w:sz w:val="20"/>
          <w:szCs w:val="20"/>
          <w:u w:val="single"/>
        </w:rPr>
        <w:fldChar w:fldCharType="begin"/>
      </w:r>
      <w:r>
        <w:rPr>
          <w:rFonts w:ascii="Arial" w:hAnsi="Arial" w:cs="Arial"/>
          <w:color w:val="1F3864" w:themeColor="accent1" w:themeShade="80"/>
          <w:spacing w:val="-3"/>
          <w:sz w:val="20"/>
          <w:szCs w:val="20"/>
          <w:u w:val="single"/>
        </w:rPr>
        <w:instrText xml:space="preserve"> REF _Ref13572784 \h  \* MERGEFORMAT </w:instrText>
      </w:r>
      <w:r>
        <w:rPr>
          <w:rFonts w:ascii="Arial" w:hAnsi="Arial" w:cs="Arial"/>
          <w:color w:val="1F3864" w:themeColor="accent1" w:themeShade="80"/>
          <w:spacing w:val="-3"/>
          <w:sz w:val="20"/>
          <w:szCs w:val="20"/>
          <w:u w:val="single"/>
        </w:rPr>
      </w:r>
      <w:r>
        <w:rPr>
          <w:rFonts w:ascii="Arial" w:hAnsi="Arial" w:cs="Arial"/>
          <w:color w:val="1F3864" w:themeColor="accent1" w:themeShade="80"/>
          <w:spacing w:val="-3"/>
          <w:sz w:val="20"/>
          <w:szCs w:val="20"/>
          <w:u w:val="single"/>
        </w:rPr>
        <w:fldChar w:fldCharType="separate"/>
      </w:r>
      <w:r w:rsidRPr="0094528E">
        <w:rPr>
          <w:rFonts w:ascii="Arial" w:hAnsi="Arial" w:cs="Arial"/>
          <w:color w:val="1F3864" w:themeColor="accent1" w:themeShade="80"/>
          <w:sz w:val="20"/>
          <w:szCs w:val="20"/>
          <w:u w:val="single"/>
        </w:rPr>
        <w:t>Negotiated Deals</w:t>
      </w:r>
      <w:r>
        <w:rPr>
          <w:rFonts w:ascii="Arial" w:hAnsi="Arial" w:cs="Arial"/>
          <w:color w:val="1F3864" w:themeColor="accent1" w:themeShade="80"/>
          <w:spacing w:val="-3"/>
          <w:sz w:val="20"/>
          <w:szCs w:val="20"/>
          <w:u w:val="single"/>
        </w:rPr>
        <w:fldChar w:fldCharType="end"/>
      </w:r>
      <w:r>
        <w:rPr>
          <w:rFonts w:ascii="Arial" w:hAnsi="Arial" w:cs="Arial"/>
          <w:color w:val="1F3864" w:themeColor="accent1" w:themeShade="80"/>
          <w:spacing w:val="-3"/>
          <w:sz w:val="20"/>
          <w:szCs w:val="20"/>
          <w:u w:val="single"/>
        </w:rPr>
        <w:t xml:space="preserve"> </w:t>
      </w:r>
    </w:p>
    <w:p w14:paraId="456314AD" w14:textId="77777777" w:rsidR="005E192C" w:rsidRPr="00F64C43" w:rsidRDefault="005E192C" w:rsidP="005E192C">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051D0226" w14:textId="77777777" w:rsidR="005E192C" w:rsidRDefault="005E192C" w:rsidP="005E192C">
      <w:pPr>
        <w:spacing w:after="0" w:line="240" w:lineRule="auto"/>
        <w:rPr>
          <w:rFonts w:ascii="Arial" w:hAnsi="Arial" w:cs="Arial"/>
          <w:spacing w:val="-3"/>
          <w:sz w:val="20"/>
        </w:rPr>
      </w:pPr>
      <w:r w:rsidRPr="00954678">
        <w:rPr>
          <w:rFonts w:ascii="Arial" w:hAnsi="Arial" w:cs="Arial"/>
          <w:spacing w:val="-3"/>
          <w:sz w:val="20"/>
        </w:rPr>
        <w:t>T</w:t>
      </w:r>
      <w:r>
        <w:rPr>
          <w:rFonts w:ascii="Arial" w:hAnsi="Arial" w:cs="Arial"/>
          <w:spacing w:val="-3"/>
          <w:sz w:val="20"/>
        </w:rPr>
        <w:t xml:space="preserve">rading indicators are single counted </w:t>
      </w:r>
      <w:r w:rsidRPr="00490F9F">
        <w:rPr>
          <w:rFonts w:ascii="Arial" w:hAnsi="Arial" w:cs="Arial"/>
          <w:spacing w:val="-3"/>
          <w:sz w:val="20"/>
        </w:rPr>
        <w:t>(</w:t>
      </w:r>
      <w:r>
        <w:rPr>
          <w:rFonts w:ascii="Arial" w:hAnsi="Arial" w:cs="Arial"/>
          <w:spacing w:val="-3"/>
          <w:sz w:val="20"/>
        </w:rPr>
        <w:t xml:space="preserve">i.e., include </w:t>
      </w:r>
      <w:r w:rsidRPr="00490F9F">
        <w:rPr>
          <w:rFonts w:ascii="Arial" w:hAnsi="Arial" w:cs="Arial"/>
          <w:spacing w:val="-3"/>
          <w:sz w:val="20"/>
        </w:rPr>
        <w:t>one side of the transaction only).</w:t>
      </w:r>
    </w:p>
    <w:p w14:paraId="67B91309" w14:textId="0D05783D" w:rsidR="00724958" w:rsidRDefault="00724958">
      <w:pPr>
        <w:rPr>
          <w:rFonts w:asciiTheme="majorHAnsi" w:eastAsia="Times New Roman" w:hAnsiTheme="majorHAnsi" w:cstheme="majorBidi"/>
          <w:snapToGrid w:val="0"/>
          <w:color w:val="2F5496" w:themeColor="accent1" w:themeShade="BF"/>
          <w:sz w:val="32"/>
          <w:szCs w:val="32"/>
          <w:lang w:eastAsia="fr-FR"/>
        </w:rPr>
      </w:pPr>
    </w:p>
    <w:p w14:paraId="537E7100" w14:textId="1C0A37B6" w:rsidR="00CC1AB8" w:rsidRDefault="00034C35" w:rsidP="00A55E94">
      <w:pPr>
        <w:pStyle w:val="Heading1"/>
        <w:spacing w:before="0" w:line="247" w:lineRule="auto"/>
        <w:rPr>
          <w:rFonts w:eastAsia="Times New Roman"/>
          <w:snapToGrid w:val="0"/>
          <w:lang w:eastAsia="fr-FR"/>
        </w:rPr>
      </w:pPr>
      <w:r>
        <w:rPr>
          <w:rFonts w:eastAsia="Times New Roman"/>
          <w:snapToGrid w:val="0"/>
          <w:lang w:eastAsia="fr-FR"/>
        </w:rPr>
        <w:t>Appendix</w:t>
      </w:r>
      <w:r w:rsidR="006C0BAB">
        <w:rPr>
          <w:rFonts w:eastAsia="Times New Roman"/>
          <w:snapToGrid w:val="0"/>
          <w:lang w:eastAsia="fr-FR"/>
        </w:rPr>
        <w:t xml:space="preserve"> 1</w:t>
      </w:r>
      <w:r>
        <w:rPr>
          <w:rFonts w:eastAsia="Times New Roman"/>
          <w:snapToGrid w:val="0"/>
          <w:lang w:eastAsia="fr-FR"/>
        </w:rPr>
        <w:t>: standard terms</w:t>
      </w:r>
    </w:p>
    <w:p w14:paraId="5CA45E74" w14:textId="77777777" w:rsidR="00207B43" w:rsidRDefault="00207B43" w:rsidP="00A55E94">
      <w:pPr>
        <w:pStyle w:val="Heading2"/>
        <w:spacing w:before="0" w:line="247" w:lineRule="auto"/>
      </w:pPr>
      <w:bookmarkStart w:id="17" w:name="_Ref13482914"/>
      <w:bookmarkStart w:id="18" w:name="_Ref11421068"/>
    </w:p>
    <w:p w14:paraId="4AA7A89C" w14:textId="77777777" w:rsidR="00207B43" w:rsidRPr="000404B1" w:rsidRDefault="00207B43" w:rsidP="004C1BE5">
      <w:pPr>
        <w:pStyle w:val="Heading2"/>
        <w:spacing w:before="0" w:after="120" w:line="247" w:lineRule="auto"/>
      </w:pPr>
      <w:bookmarkStart w:id="19" w:name="_Ref13648567"/>
      <w:r w:rsidRPr="000404B1">
        <w:t>Commodity options</w:t>
      </w:r>
      <w:bookmarkEnd w:id="19"/>
      <w:r w:rsidRPr="000404B1">
        <w:t xml:space="preserve"> </w:t>
      </w:r>
    </w:p>
    <w:p w14:paraId="1CFC36D3"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commodity option is an option (right to buy or sell an underlying in the future) whose underlying reference is determined by a commodity price. Commodity derivatives can be based on a wide range of commodities (agricultural, energy, metal </w:t>
      </w:r>
      <w:proofErr w:type="spellStart"/>
      <w:r w:rsidRPr="00490F9F">
        <w:rPr>
          <w:rFonts w:ascii="Arial" w:hAnsi="Arial" w:cs="Arial"/>
          <w:spacing w:val="-3"/>
          <w:sz w:val="20"/>
        </w:rPr>
        <w:t>etc</w:t>
      </w:r>
      <w:proofErr w:type="spellEnd"/>
      <w:r w:rsidRPr="00490F9F">
        <w:rPr>
          <w:rFonts w:ascii="Arial" w:hAnsi="Arial" w:cs="Arial"/>
          <w:spacing w:val="-3"/>
          <w:sz w:val="20"/>
        </w:rPr>
        <w:t xml:space="preserve">). </w:t>
      </w:r>
    </w:p>
    <w:p w14:paraId="12D00171" w14:textId="77777777" w:rsidR="00207B43" w:rsidRPr="000404B1" w:rsidRDefault="00207B43" w:rsidP="004C1BE5">
      <w:pPr>
        <w:pStyle w:val="Heading2"/>
        <w:spacing w:before="0" w:after="120" w:line="247" w:lineRule="auto"/>
      </w:pPr>
      <w:bookmarkStart w:id="20" w:name="_Ref13648573"/>
      <w:r w:rsidRPr="000404B1">
        <w:t>Commodity futures</w:t>
      </w:r>
      <w:bookmarkEnd w:id="20"/>
    </w:p>
    <w:p w14:paraId="50D3F5C9" w14:textId="77777777" w:rsidR="00207B43" w:rsidRPr="000404B1"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commodity future is a future (obligation to buy or sell an underlying in the future) whose underlying reference is determined by a commodity price. Commodity derivatives can be based on a wide range of commodities (agricultural, energy, metal </w:t>
      </w:r>
      <w:proofErr w:type="spellStart"/>
      <w:r w:rsidRPr="00490F9F">
        <w:rPr>
          <w:rFonts w:ascii="Arial" w:hAnsi="Arial" w:cs="Arial"/>
          <w:spacing w:val="-3"/>
          <w:sz w:val="20"/>
        </w:rPr>
        <w:t>etc</w:t>
      </w:r>
      <w:proofErr w:type="spellEnd"/>
      <w:r w:rsidRPr="00490F9F">
        <w:rPr>
          <w:rFonts w:ascii="Arial" w:hAnsi="Arial" w:cs="Arial"/>
          <w:spacing w:val="-3"/>
          <w:sz w:val="20"/>
        </w:rPr>
        <w:t>).</w:t>
      </w:r>
    </w:p>
    <w:p w14:paraId="3DEF8C25" w14:textId="77777777" w:rsidR="00424B52" w:rsidRPr="00D61ED2" w:rsidRDefault="00424B52" w:rsidP="004C1BE5">
      <w:pPr>
        <w:pStyle w:val="Heading2"/>
        <w:spacing w:before="0" w:after="120" w:line="247" w:lineRule="auto"/>
      </w:pPr>
      <w:bookmarkStart w:id="21" w:name="_Ref13648553"/>
      <w:r w:rsidRPr="00D61ED2">
        <w:t>Currency options</w:t>
      </w:r>
      <w:bookmarkEnd w:id="21"/>
    </w:p>
    <w:p w14:paraId="29E044F4" w14:textId="77777777" w:rsidR="00424B52" w:rsidRPr="00490F9F" w:rsidRDefault="00424B5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currency option is an option (right to buy or sell an underlying in the future) whose underlying reference is based on a currency price.</w:t>
      </w:r>
    </w:p>
    <w:p w14:paraId="1BC2127E" w14:textId="77777777" w:rsidR="00424B52" w:rsidRPr="000404B1" w:rsidRDefault="00424B52" w:rsidP="004C1BE5">
      <w:pPr>
        <w:pStyle w:val="Heading2"/>
        <w:spacing w:before="0" w:after="120" w:line="247" w:lineRule="auto"/>
      </w:pPr>
      <w:bookmarkStart w:id="22" w:name="_Ref13648556"/>
      <w:r w:rsidRPr="000404B1">
        <w:t>Currency futures</w:t>
      </w:r>
      <w:bookmarkEnd w:id="22"/>
    </w:p>
    <w:p w14:paraId="41A676DB" w14:textId="77777777" w:rsidR="00E15296" w:rsidRDefault="00424B5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currency future is a future (obligation to buy or sell an underlying in the future) whose underlying reference is based on a currency price.</w:t>
      </w:r>
    </w:p>
    <w:p w14:paraId="4B2291C3" w14:textId="436AE60A" w:rsidR="00424B52" w:rsidRDefault="00424B52" w:rsidP="004C1BE5">
      <w:pPr>
        <w:pStyle w:val="Heading2"/>
        <w:spacing w:before="0" w:after="120" w:line="247" w:lineRule="auto"/>
      </w:pPr>
      <w:bookmarkStart w:id="23" w:name="_Ref13563231"/>
      <w:r w:rsidRPr="00034C35">
        <w:t>Domestic Companies</w:t>
      </w:r>
      <w:bookmarkEnd w:id="23"/>
    </w:p>
    <w:p w14:paraId="44474CDF" w14:textId="77777777" w:rsidR="00E15296" w:rsidRPr="00BF5336" w:rsidRDefault="00424B52" w:rsidP="004C1BE5">
      <w:pPr>
        <w:suppressAutoHyphens/>
        <w:spacing w:after="120" w:line="247" w:lineRule="auto"/>
        <w:jc w:val="both"/>
        <w:rPr>
          <w:rFonts w:ascii="Arial" w:hAnsi="Arial" w:cs="Arial"/>
          <w:spacing w:val="-3"/>
          <w:sz w:val="20"/>
        </w:rPr>
      </w:pPr>
      <w:r w:rsidRPr="00BF5336">
        <w:rPr>
          <w:rFonts w:ascii="Arial" w:hAnsi="Arial" w:cs="Arial"/>
          <w:spacing w:val="-3"/>
          <w:sz w:val="20"/>
        </w:rPr>
        <w:t>A company is considered domestic when it is incorporated in the same country where the exchange is located or is incorporated elsewhere but listed only on the exchange in question.</w:t>
      </w:r>
    </w:p>
    <w:p w14:paraId="347E7D9A" w14:textId="06C48EFE" w:rsidR="00424B52" w:rsidRPr="00824AD9" w:rsidRDefault="00424B52" w:rsidP="004C1BE5">
      <w:pPr>
        <w:pStyle w:val="Heading2"/>
        <w:spacing w:before="0" w:after="120" w:line="247" w:lineRule="auto"/>
      </w:pPr>
      <w:bookmarkStart w:id="24" w:name="_Ref13652152"/>
      <w:r w:rsidRPr="00824AD9">
        <w:t>Domestic private bonds</w:t>
      </w:r>
      <w:bookmarkEnd w:id="24"/>
    </w:p>
    <w:p w14:paraId="73A54FBD" w14:textId="77777777" w:rsidR="00424B52" w:rsidRPr="00490F9F" w:rsidRDefault="00424B52" w:rsidP="004C1BE5">
      <w:pPr>
        <w:suppressAutoHyphens/>
        <w:spacing w:after="120" w:line="247" w:lineRule="auto"/>
        <w:jc w:val="both"/>
        <w:rPr>
          <w:rFonts w:ascii="Arial" w:hAnsi="Arial" w:cs="Arial"/>
          <w:spacing w:val="-3"/>
          <w:sz w:val="20"/>
        </w:rPr>
      </w:pPr>
      <w:r>
        <w:rPr>
          <w:rFonts w:ascii="Arial" w:hAnsi="Arial" w:cs="Arial"/>
          <w:spacing w:val="-3"/>
          <w:sz w:val="20"/>
        </w:rPr>
        <w:t xml:space="preserve">These </w:t>
      </w:r>
      <w:r w:rsidRPr="00490F9F">
        <w:rPr>
          <w:rFonts w:ascii="Arial" w:hAnsi="Arial" w:cs="Arial"/>
          <w:spacing w:val="-3"/>
          <w:sz w:val="20"/>
        </w:rPr>
        <w:t>include corporate bonds, bonds issued by domestic banks and financial institutions</w:t>
      </w:r>
      <w:r>
        <w:rPr>
          <w:rFonts w:ascii="Arial" w:hAnsi="Arial" w:cs="Arial"/>
          <w:spacing w:val="-3"/>
          <w:sz w:val="20"/>
        </w:rPr>
        <w:t>.</w:t>
      </w:r>
    </w:p>
    <w:p w14:paraId="62D433F7" w14:textId="77777777" w:rsidR="00424B52" w:rsidRPr="00824AD9" w:rsidRDefault="00424B52" w:rsidP="004C1BE5">
      <w:pPr>
        <w:pStyle w:val="Heading2"/>
        <w:spacing w:before="0" w:after="120" w:line="247" w:lineRule="auto"/>
      </w:pPr>
      <w:bookmarkStart w:id="25" w:name="_Ref13652166"/>
      <w:r w:rsidRPr="00824AD9">
        <w:lastRenderedPageBreak/>
        <w:t>Domestic public bonds</w:t>
      </w:r>
      <w:bookmarkEnd w:id="25"/>
    </w:p>
    <w:p w14:paraId="01DA8278" w14:textId="77777777" w:rsidR="00424B52"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w:hAnsi="Arial" w:cs="Arial"/>
          <w:spacing w:val="-3"/>
          <w:sz w:val="20"/>
        </w:rPr>
      </w:pPr>
      <w:r>
        <w:rPr>
          <w:rFonts w:ascii="Arial" w:hAnsi="Arial" w:cs="Arial"/>
          <w:spacing w:val="-3"/>
          <w:sz w:val="20"/>
        </w:rPr>
        <w:t xml:space="preserve">These </w:t>
      </w:r>
      <w:r w:rsidRPr="00490F9F">
        <w:rPr>
          <w:rFonts w:ascii="Arial" w:hAnsi="Arial" w:cs="Arial"/>
          <w:spacing w:val="-3"/>
          <w:sz w:val="20"/>
        </w:rPr>
        <w:t>include government / state-owned organizations’ bonds and bills, state-related institutions whose instruments are guaranteed by the state, and municipal bonds</w:t>
      </w:r>
      <w:r>
        <w:rPr>
          <w:rFonts w:ascii="Arial" w:hAnsi="Arial" w:cs="Arial"/>
          <w:spacing w:val="-3"/>
          <w:sz w:val="20"/>
        </w:rPr>
        <w:t>.</w:t>
      </w:r>
    </w:p>
    <w:p w14:paraId="75F1A866" w14:textId="77777777" w:rsidR="00424B52" w:rsidRPr="00490F9F" w:rsidRDefault="00424B52" w:rsidP="004C1BE5">
      <w:pPr>
        <w:pStyle w:val="Heading2"/>
        <w:spacing w:before="0" w:after="120" w:line="247" w:lineRule="auto"/>
      </w:pPr>
      <w:bookmarkStart w:id="26" w:name="_Ref13572577"/>
      <w:r>
        <w:t>E</w:t>
      </w:r>
      <w:r w:rsidRPr="00490F9F">
        <w:t xml:space="preserve">lectronic </w:t>
      </w:r>
      <w:r>
        <w:t>O</w:t>
      </w:r>
      <w:r w:rsidRPr="00490F9F">
        <w:t xml:space="preserve">rder </w:t>
      </w:r>
      <w:r>
        <w:t>B</w:t>
      </w:r>
      <w:r w:rsidRPr="00490F9F">
        <w:t>ook (EOB)</w:t>
      </w:r>
      <w:bookmarkEnd w:id="26"/>
      <w:r>
        <w:t xml:space="preserve"> </w:t>
      </w:r>
    </w:p>
    <w:p w14:paraId="52D64B6A" w14:textId="77777777" w:rsidR="00424B52" w:rsidRDefault="00424B52" w:rsidP="004C1BE5">
      <w:pPr>
        <w:suppressAutoHyphens/>
        <w:spacing w:after="120" w:line="247" w:lineRule="auto"/>
        <w:jc w:val="both"/>
        <w:rPr>
          <w:rFonts w:ascii="Arial" w:hAnsi="Arial" w:cs="Arial"/>
          <w:spacing w:val="-3"/>
          <w:sz w:val="20"/>
        </w:rPr>
      </w:pPr>
      <w:r w:rsidRPr="00490F9F">
        <w:rPr>
          <w:rFonts w:ascii="Arial" w:hAnsi="Arial" w:cs="Arial"/>
          <w:spacing w:val="-3"/>
          <w:sz w:val="20"/>
        </w:rPr>
        <w:t>These</w:t>
      </w:r>
      <w:r>
        <w:rPr>
          <w:rFonts w:ascii="Arial" w:hAnsi="Arial" w:cs="Arial"/>
          <w:spacing w:val="-3"/>
          <w:sz w:val="20"/>
        </w:rPr>
        <w:t xml:space="preserve"> are</w:t>
      </w:r>
      <w:r w:rsidRPr="00490F9F">
        <w:rPr>
          <w:rFonts w:ascii="Arial" w:hAnsi="Arial" w:cs="Arial"/>
          <w:spacing w:val="-3"/>
          <w:sz w:val="20"/>
        </w:rPr>
        <w:t xml:space="preserve"> trades effected automatically through the exchange’s electronic order book where orders placed by trading members are usually exposed to all market users and automatically matched according to precise rules set up by the exchange, generally on a price/time priority basis.</w:t>
      </w:r>
    </w:p>
    <w:p w14:paraId="5A917AD2" w14:textId="77777777" w:rsidR="00207B43" w:rsidRPr="00D61ED2" w:rsidRDefault="00207B43" w:rsidP="004C1BE5">
      <w:pPr>
        <w:pStyle w:val="Heading2"/>
        <w:spacing w:before="0" w:after="120" w:line="247" w:lineRule="auto"/>
      </w:pPr>
      <w:bookmarkStart w:id="27" w:name="_Ref13648497"/>
      <w:r w:rsidRPr="00D61ED2">
        <w:t>ETF options</w:t>
      </w:r>
      <w:bookmarkEnd w:id="27"/>
      <w:r w:rsidRPr="00D61ED2">
        <w:t xml:space="preserve"> </w:t>
      </w:r>
    </w:p>
    <w:p w14:paraId="1A21BBE2"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An ETF option is an option (right to buy or sell an underlying in the future) whose underlying reference is determined by an ETF price. As ETFs trades like stocks, options on these products are operationally similar to options on stocks.</w:t>
      </w:r>
    </w:p>
    <w:p w14:paraId="1B318EAB" w14:textId="77777777" w:rsidR="00207B43" w:rsidRPr="00D61ED2" w:rsidRDefault="00207B43" w:rsidP="004C1BE5">
      <w:pPr>
        <w:pStyle w:val="Heading2"/>
        <w:spacing w:before="0" w:after="120" w:line="247" w:lineRule="auto"/>
      </w:pPr>
      <w:bookmarkStart w:id="28" w:name="_Ref13648500"/>
      <w:r w:rsidRPr="00D61ED2">
        <w:t>ETF futures</w:t>
      </w:r>
      <w:bookmarkEnd w:id="28"/>
    </w:p>
    <w:p w14:paraId="573AE720" w14:textId="77777777" w:rsidR="00207B43"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An ETF future (obligation to buy or sell an underlying in the future) whose underlying reference is determined by an ETF price. As ETFs trades like stocks, futures on these products are operationally similar to futures on stocks.</w:t>
      </w:r>
    </w:p>
    <w:p w14:paraId="53EED277" w14:textId="77777777" w:rsidR="00424B52" w:rsidRPr="00824AD9" w:rsidRDefault="00424B52" w:rsidP="004C1BE5">
      <w:pPr>
        <w:pStyle w:val="Heading2"/>
        <w:spacing w:before="0" w:after="120" w:line="247" w:lineRule="auto"/>
      </w:pPr>
      <w:bookmarkStart w:id="29" w:name="_Ref13652174"/>
      <w:r w:rsidRPr="00824AD9">
        <w:t>Foreign bonds</w:t>
      </w:r>
      <w:bookmarkEnd w:id="29"/>
    </w:p>
    <w:p w14:paraId="0C0D0BBB" w14:textId="107DBAA1" w:rsidR="00424B52"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w:hAnsi="Arial" w:cs="Arial"/>
          <w:spacing w:val="-3"/>
          <w:sz w:val="20"/>
        </w:rPr>
      </w:pPr>
      <w:r>
        <w:rPr>
          <w:rFonts w:ascii="Arial" w:hAnsi="Arial" w:cs="Arial"/>
          <w:spacing w:val="-3"/>
          <w:sz w:val="20"/>
        </w:rPr>
        <w:t>Bonds</w:t>
      </w:r>
      <w:r w:rsidRPr="00490F9F">
        <w:rPr>
          <w:rFonts w:ascii="Arial" w:hAnsi="Arial" w:cs="Arial"/>
          <w:spacing w:val="-3"/>
          <w:sz w:val="20"/>
        </w:rPr>
        <w:t xml:space="preserve"> issued by non-resident institutions: foreign governments, banks, financial institutions, supranational organi</w:t>
      </w:r>
      <w:r>
        <w:rPr>
          <w:rFonts w:ascii="Arial" w:hAnsi="Arial" w:cs="Arial"/>
          <w:spacing w:val="-3"/>
          <w:sz w:val="20"/>
        </w:rPr>
        <w:t>s</w:t>
      </w:r>
      <w:r w:rsidR="00BF5336">
        <w:rPr>
          <w:rFonts w:ascii="Arial" w:hAnsi="Arial" w:cs="Arial"/>
          <w:spacing w:val="-3"/>
          <w:sz w:val="20"/>
        </w:rPr>
        <w:t>ations (e.g. EIB, EBRD, World Bank</w:t>
      </w:r>
      <w:r w:rsidRPr="00490F9F">
        <w:rPr>
          <w:rFonts w:ascii="Arial" w:hAnsi="Arial" w:cs="Arial"/>
          <w:spacing w:val="-3"/>
          <w:sz w:val="20"/>
        </w:rPr>
        <w:t xml:space="preserve">). They also include </w:t>
      </w:r>
      <w:proofErr w:type="spellStart"/>
      <w:r w:rsidRPr="00490F9F">
        <w:rPr>
          <w:rFonts w:ascii="Arial" w:hAnsi="Arial" w:cs="Arial"/>
          <w:spacing w:val="-3"/>
          <w:sz w:val="20"/>
        </w:rPr>
        <w:t>eurobonds</w:t>
      </w:r>
      <w:proofErr w:type="spellEnd"/>
      <w:r w:rsidRPr="00490F9F">
        <w:rPr>
          <w:rFonts w:ascii="Arial" w:hAnsi="Arial" w:cs="Arial"/>
          <w:spacing w:val="-3"/>
          <w:sz w:val="20"/>
        </w:rPr>
        <w:t xml:space="preserve"> (bonds issued under a law of a state different from the one of the issuer and placed in a foreign country inside the euro zone).</w:t>
      </w:r>
    </w:p>
    <w:p w14:paraId="2C065310" w14:textId="77777777" w:rsidR="00424B52" w:rsidRDefault="00424B52" w:rsidP="004C1BE5">
      <w:pPr>
        <w:pStyle w:val="Heading2"/>
        <w:spacing w:before="0" w:after="120" w:line="247" w:lineRule="auto"/>
      </w:pPr>
      <w:bookmarkStart w:id="30" w:name="_Ref13563374"/>
      <w:r w:rsidRPr="00034C35">
        <w:t>Foreign Companies</w:t>
      </w:r>
      <w:bookmarkEnd w:id="30"/>
    </w:p>
    <w:p w14:paraId="09AD580B" w14:textId="77777777" w:rsidR="00424B52" w:rsidRDefault="00424B52" w:rsidP="004C1BE5">
      <w:pPr>
        <w:spacing w:after="120" w:line="247" w:lineRule="auto"/>
        <w:jc w:val="both"/>
        <w:rPr>
          <w:rFonts w:ascii="Arial" w:hAnsi="Arial" w:cs="Arial"/>
          <w:spacing w:val="-3"/>
          <w:sz w:val="20"/>
        </w:rPr>
      </w:pPr>
      <w:r>
        <w:rPr>
          <w:rFonts w:ascii="Arial" w:hAnsi="Arial" w:cs="Arial"/>
          <w:spacing w:val="-3"/>
          <w:sz w:val="20"/>
        </w:rPr>
        <w:t>A company is considered foreign when it is incorporated somewhere other than where the exchange is located and is listed on another exchange in addition to the reporting exchange.</w:t>
      </w:r>
    </w:p>
    <w:p w14:paraId="1BE674FD" w14:textId="77777777" w:rsidR="00424B52" w:rsidRDefault="00424B52" w:rsidP="004C1BE5">
      <w:pPr>
        <w:pStyle w:val="Heading2"/>
        <w:spacing w:before="0" w:after="120" w:line="247" w:lineRule="auto"/>
      </w:pPr>
      <w:bookmarkStart w:id="31" w:name="_Ref13549272"/>
      <w:r>
        <w:t>Initial Public Offering</w:t>
      </w:r>
      <w:bookmarkEnd w:id="31"/>
    </w:p>
    <w:p w14:paraId="7322D8E9" w14:textId="77777777" w:rsidR="00424B52" w:rsidRPr="005C447D" w:rsidRDefault="00424B52" w:rsidP="004C1BE5">
      <w:pPr>
        <w:spacing w:after="120" w:line="247" w:lineRule="auto"/>
        <w:jc w:val="both"/>
        <w:rPr>
          <w:rFonts w:ascii="Arial" w:hAnsi="Arial" w:cs="Arial"/>
          <w:sz w:val="20"/>
        </w:rPr>
      </w:pPr>
      <w:r>
        <w:rPr>
          <w:rFonts w:ascii="Arial" w:hAnsi="Arial" w:cs="Arial"/>
          <w:sz w:val="20"/>
        </w:rPr>
        <w:t xml:space="preserve">An Initial Public Offering is a </w:t>
      </w:r>
      <w:r w:rsidRPr="00FA1846">
        <w:rPr>
          <w:rFonts w:ascii="Arial" w:hAnsi="Arial" w:cs="Arial"/>
          <w:sz w:val="20"/>
        </w:rPr>
        <w:t xml:space="preserve">placement of stocks by an unlisted company aimed at creating the float for the admission to listing on an exchange. The prospectus is mandatory and must be approved by the regulator. During the offer, both existing shareholders and the company itself may place – through an offer usually run by a pool of intermediaries and managed by a global coordinator - already issued or newly issued shares. </w:t>
      </w:r>
      <w:r w:rsidRPr="005C447D">
        <w:rPr>
          <w:rFonts w:ascii="Arial" w:hAnsi="Arial" w:cs="Arial"/>
          <w:sz w:val="20"/>
        </w:rPr>
        <w:t>Through this process, a private company transforms into a public company.</w:t>
      </w:r>
    </w:p>
    <w:p w14:paraId="1AE85C08"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Rules:</w:t>
      </w:r>
    </w:p>
    <w:p w14:paraId="5F1F5C45"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1 Company must be listing for the first time</w:t>
      </w:r>
    </w:p>
    <w:p w14:paraId="5123BA34"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2 Prospectus must be approved by a regulatory authority</w:t>
      </w:r>
    </w:p>
    <w:p w14:paraId="62AB2F63"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3 Shares must be offered to the public</w:t>
      </w:r>
    </w:p>
    <w:p w14:paraId="54393B09" w14:textId="77777777" w:rsidR="00207B43" w:rsidRPr="00D61ED2" w:rsidRDefault="00207B43" w:rsidP="004C1BE5">
      <w:pPr>
        <w:pStyle w:val="Heading2"/>
        <w:spacing w:before="0" w:after="120" w:line="247" w:lineRule="auto"/>
      </w:pPr>
      <w:bookmarkStart w:id="32" w:name="_Ref13648534"/>
      <w:r w:rsidRPr="00D61ED2">
        <w:t>Long term interest rate options</w:t>
      </w:r>
      <w:bookmarkEnd w:id="32"/>
    </w:p>
    <w:p w14:paraId="329A9A8B"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long term interest rate option is an option (right to buy or sell an underlying in the future) whose underlying reference is determined by the level of a specific long term interest rate. A long term interest rate corresponds to an original term to maturity greater than 12 months (treasury bonds, corporate bonds, Eurobonds </w:t>
      </w:r>
      <w:proofErr w:type="spellStart"/>
      <w:r w:rsidRPr="00490F9F">
        <w:rPr>
          <w:rFonts w:ascii="Arial" w:hAnsi="Arial" w:cs="Arial"/>
          <w:spacing w:val="-3"/>
          <w:sz w:val="20"/>
        </w:rPr>
        <w:t>etc</w:t>
      </w:r>
      <w:proofErr w:type="spellEnd"/>
      <w:r w:rsidRPr="00490F9F">
        <w:rPr>
          <w:rFonts w:ascii="Arial" w:hAnsi="Arial" w:cs="Arial"/>
          <w:spacing w:val="-3"/>
          <w:sz w:val="20"/>
        </w:rPr>
        <w:t>).</w:t>
      </w:r>
    </w:p>
    <w:p w14:paraId="70278AE7" w14:textId="77777777" w:rsidR="00207B43" w:rsidRPr="00D61ED2" w:rsidRDefault="00207B43" w:rsidP="004C1BE5">
      <w:pPr>
        <w:pStyle w:val="Heading2"/>
        <w:spacing w:before="0" w:after="120" w:line="247" w:lineRule="auto"/>
      </w:pPr>
      <w:bookmarkStart w:id="33" w:name="_Ref13648541"/>
      <w:r w:rsidRPr="00D61ED2">
        <w:t>Long term interest rate futures</w:t>
      </w:r>
      <w:bookmarkEnd w:id="33"/>
    </w:p>
    <w:p w14:paraId="3808B9E7"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long term interest rate future is a future (obligation to buy or sell an underlying in the future) whose underlying reference is determined by the level of a specific long term interest rate. A long term interest rate corresponds to an original term to maturity greater than 12 months (treasury bonds, corporate bonds, Eurobonds </w:t>
      </w:r>
      <w:proofErr w:type="spellStart"/>
      <w:r w:rsidRPr="00490F9F">
        <w:rPr>
          <w:rFonts w:ascii="Arial" w:hAnsi="Arial" w:cs="Arial"/>
          <w:spacing w:val="-3"/>
          <w:sz w:val="20"/>
        </w:rPr>
        <w:t>etc</w:t>
      </w:r>
      <w:proofErr w:type="spellEnd"/>
      <w:r w:rsidRPr="00490F9F">
        <w:rPr>
          <w:rFonts w:ascii="Arial" w:hAnsi="Arial" w:cs="Arial"/>
          <w:spacing w:val="-3"/>
          <w:sz w:val="20"/>
        </w:rPr>
        <w:t>).</w:t>
      </w:r>
    </w:p>
    <w:p w14:paraId="0BAEA2DB" w14:textId="77777777" w:rsidR="00424B52" w:rsidRPr="00490F9F" w:rsidRDefault="00424B52" w:rsidP="004C1BE5">
      <w:pPr>
        <w:pStyle w:val="Heading2"/>
        <w:spacing w:before="0" w:after="120" w:line="247" w:lineRule="auto"/>
      </w:pPr>
      <w:bookmarkStart w:id="34" w:name="_Ref13572784"/>
      <w:r w:rsidRPr="00490F9F">
        <w:lastRenderedPageBreak/>
        <w:t xml:space="preserve">Negotiated </w:t>
      </w:r>
      <w:r>
        <w:t>D</w:t>
      </w:r>
      <w:r w:rsidRPr="00490F9F">
        <w:t>eals</w:t>
      </w:r>
      <w:bookmarkEnd w:id="34"/>
    </w:p>
    <w:p w14:paraId="45AA5F2F" w14:textId="77777777" w:rsidR="00424B52" w:rsidRDefault="00424B52" w:rsidP="004C1BE5">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w:hAnsi="Arial" w:cs="Arial"/>
          <w:iCs/>
          <w:sz w:val="20"/>
        </w:rPr>
      </w:pPr>
      <w:r w:rsidRPr="00490F9F">
        <w:rPr>
          <w:rFonts w:ascii="Arial" w:hAnsi="Arial" w:cs="Arial"/>
          <w:iCs/>
          <w:sz w:val="20"/>
        </w:rPr>
        <w:t>Th</w:t>
      </w:r>
      <w:r>
        <w:rPr>
          <w:rFonts w:ascii="Arial" w:hAnsi="Arial" w:cs="Arial"/>
          <w:iCs/>
          <w:sz w:val="20"/>
        </w:rPr>
        <w:t xml:space="preserve">ese are </w:t>
      </w:r>
      <w:r w:rsidRPr="00490F9F">
        <w:rPr>
          <w:rFonts w:ascii="Arial" w:hAnsi="Arial" w:cs="Arial"/>
          <w:iCs/>
          <w:sz w:val="20"/>
        </w:rPr>
        <w:t>trades</w:t>
      </w:r>
      <w:r>
        <w:rPr>
          <w:rFonts w:ascii="Arial" w:hAnsi="Arial" w:cs="Arial"/>
          <w:iCs/>
          <w:sz w:val="20"/>
        </w:rPr>
        <w:t xml:space="preserve"> not concluded through</w:t>
      </w:r>
      <w:r w:rsidRPr="00490F9F">
        <w:rPr>
          <w:rFonts w:ascii="Arial" w:hAnsi="Arial" w:cs="Arial"/>
          <w:iCs/>
          <w:sz w:val="20"/>
        </w:rPr>
        <w:t xml:space="preserve"> the EOB, confirmed through a system managed (directly or indirectly) by the </w:t>
      </w:r>
      <w:r>
        <w:rPr>
          <w:rFonts w:ascii="Arial" w:hAnsi="Arial" w:cs="Arial"/>
          <w:iCs/>
          <w:sz w:val="20"/>
        </w:rPr>
        <w:t>e</w:t>
      </w:r>
      <w:r w:rsidRPr="00490F9F">
        <w:rPr>
          <w:rFonts w:ascii="Arial" w:hAnsi="Arial" w:cs="Arial"/>
          <w:iCs/>
          <w:sz w:val="20"/>
        </w:rPr>
        <w:t>xchange, where both seller and buyer agree on the transaction (price and quantity). This system checks automatically if the transaction is compliant with the exchange rules, including most often consistency with EOB price.</w:t>
      </w:r>
    </w:p>
    <w:p w14:paraId="48A5A7B8" w14:textId="77777777" w:rsidR="00424B52" w:rsidRPr="00490F9F" w:rsidRDefault="00424B52" w:rsidP="004C1BE5">
      <w:pPr>
        <w:pStyle w:val="Heading2"/>
        <w:spacing w:before="0" w:after="120" w:line="247" w:lineRule="auto"/>
      </w:pPr>
      <w:bookmarkStart w:id="35" w:name="_Ref13573188"/>
      <w:r w:rsidRPr="00490F9F">
        <w:t xml:space="preserve">Reported </w:t>
      </w:r>
      <w:r>
        <w:t>T</w:t>
      </w:r>
      <w:r w:rsidRPr="00490F9F">
        <w:t>rades</w:t>
      </w:r>
      <w:bookmarkEnd w:id="35"/>
    </w:p>
    <w:p w14:paraId="16201FC7" w14:textId="77777777" w:rsidR="00424B52" w:rsidRDefault="00424B52" w:rsidP="004C1BE5">
      <w:pPr>
        <w:spacing w:after="120" w:line="247" w:lineRule="auto"/>
        <w:jc w:val="both"/>
        <w:rPr>
          <w:rFonts w:ascii="Arial" w:hAnsi="Arial" w:cs="Arial"/>
          <w:spacing w:val="-3"/>
          <w:sz w:val="20"/>
        </w:rPr>
      </w:pPr>
      <w:r w:rsidRPr="00490F9F">
        <w:rPr>
          <w:rFonts w:ascii="Arial" w:hAnsi="Arial" w:cs="Arial"/>
          <w:spacing w:val="-3"/>
          <w:sz w:val="20"/>
        </w:rPr>
        <w:t>Th</w:t>
      </w:r>
      <w:r>
        <w:rPr>
          <w:rFonts w:ascii="Arial" w:hAnsi="Arial" w:cs="Arial"/>
          <w:spacing w:val="-3"/>
          <w:sz w:val="20"/>
        </w:rPr>
        <w:t xml:space="preserve">ese are </w:t>
      </w:r>
      <w:r w:rsidRPr="00490F9F">
        <w:rPr>
          <w:rFonts w:ascii="Arial" w:hAnsi="Arial" w:cs="Arial"/>
          <w:spacing w:val="-3"/>
          <w:sz w:val="20"/>
        </w:rPr>
        <w:t xml:space="preserve">trades </w:t>
      </w:r>
      <w:r>
        <w:rPr>
          <w:rFonts w:ascii="Arial" w:hAnsi="Arial" w:cs="Arial"/>
          <w:iCs/>
          <w:sz w:val="20"/>
        </w:rPr>
        <w:t>not concluded through</w:t>
      </w:r>
      <w:r w:rsidRPr="00490F9F">
        <w:rPr>
          <w:rFonts w:ascii="Arial" w:hAnsi="Arial" w:cs="Arial"/>
          <w:iCs/>
          <w:sz w:val="20"/>
        </w:rPr>
        <w:t xml:space="preserve"> the EOB</w:t>
      </w:r>
      <w:r>
        <w:rPr>
          <w:rFonts w:ascii="Arial" w:hAnsi="Arial" w:cs="Arial"/>
          <w:spacing w:val="-3"/>
          <w:sz w:val="20"/>
        </w:rPr>
        <w:t xml:space="preserve">, </w:t>
      </w:r>
      <w:r w:rsidRPr="00490F9F">
        <w:rPr>
          <w:rFonts w:ascii="Arial" w:hAnsi="Arial" w:cs="Arial"/>
          <w:spacing w:val="-3"/>
          <w:sz w:val="20"/>
        </w:rPr>
        <w:t xml:space="preserve">reported through a Trade Reporting Facility (TRF) when only one counterparty provides information on the trade and offers dissemination services at the request of the reporting trader. The other counterparty </w:t>
      </w:r>
      <w:r>
        <w:rPr>
          <w:rFonts w:ascii="Arial" w:hAnsi="Arial" w:cs="Arial"/>
          <w:spacing w:val="-3"/>
          <w:sz w:val="20"/>
        </w:rPr>
        <w:t>may</w:t>
      </w:r>
      <w:r w:rsidRPr="00490F9F">
        <w:rPr>
          <w:rFonts w:ascii="Arial" w:hAnsi="Arial" w:cs="Arial"/>
          <w:spacing w:val="-3"/>
          <w:sz w:val="20"/>
        </w:rPr>
        <w:t xml:space="preserve"> use this facility if reporting is mandatory.</w:t>
      </w:r>
    </w:p>
    <w:p w14:paraId="585165AE" w14:textId="77777777" w:rsidR="00207B43" w:rsidRPr="00D61ED2" w:rsidRDefault="00207B43" w:rsidP="004C1BE5">
      <w:pPr>
        <w:pStyle w:val="Heading2"/>
        <w:spacing w:before="0" w:after="120" w:line="247" w:lineRule="auto"/>
      </w:pPr>
      <w:bookmarkStart w:id="36" w:name="_Ref13648513"/>
      <w:r w:rsidRPr="00D61ED2">
        <w:t>Short term interest rate options</w:t>
      </w:r>
      <w:bookmarkEnd w:id="36"/>
    </w:p>
    <w:p w14:paraId="45B6A88A"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short term interest rate option is an option (right to buy or sell an underlying in the future) whose underlying reference is determined by the level of a specific short term interest rate. A short term interest rate corresponds to an original term to maturity equal to or lower than 12 months (treasury bills, deposits </w:t>
      </w:r>
      <w:proofErr w:type="spellStart"/>
      <w:r w:rsidRPr="00490F9F">
        <w:rPr>
          <w:rFonts w:ascii="Arial" w:hAnsi="Arial" w:cs="Arial"/>
          <w:spacing w:val="-3"/>
          <w:sz w:val="20"/>
        </w:rPr>
        <w:t>etc</w:t>
      </w:r>
      <w:proofErr w:type="spellEnd"/>
      <w:r w:rsidRPr="00490F9F">
        <w:rPr>
          <w:rFonts w:ascii="Arial" w:hAnsi="Arial" w:cs="Arial"/>
          <w:spacing w:val="-3"/>
          <w:sz w:val="20"/>
        </w:rPr>
        <w:t>).</w:t>
      </w:r>
    </w:p>
    <w:p w14:paraId="0B6C984B" w14:textId="77777777" w:rsidR="00207B43" w:rsidRPr="00D61ED2" w:rsidRDefault="00207B43" w:rsidP="004C1BE5">
      <w:pPr>
        <w:pStyle w:val="Heading2"/>
        <w:spacing w:before="0" w:after="120" w:line="247" w:lineRule="auto"/>
      </w:pPr>
      <w:bookmarkStart w:id="37" w:name="_Ref13648520"/>
      <w:r w:rsidRPr="00D61ED2">
        <w:t>Short term interest rate futures</w:t>
      </w:r>
      <w:bookmarkEnd w:id="37"/>
    </w:p>
    <w:p w14:paraId="601B26C6"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short term interest rate future is a future (obligation to buy or sell an underlying in the future) whose underlying reference is determined by the level of a specific short term interest rate. A short term interest rate corresponds to an original term to maturity equal to or lower than 12 months (treasury bills, deposits </w:t>
      </w:r>
      <w:proofErr w:type="spellStart"/>
      <w:r w:rsidRPr="00490F9F">
        <w:rPr>
          <w:rFonts w:ascii="Arial" w:hAnsi="Arial" w:cs="Arial"/>
          <w:spacing w:val="-3"/>
          <w:sz w:val="20"/>
        </w:rPr>
        <w:t>etc</w:t>
      </w:r>
      <w:proofErr w:type="spellEnd"/>
      <w:r w:rsidRPr="00490F9F">
        <w:rPr>
          <w:rFonts w:ascii="Arial" w:hAnsi="Arial" w:cs="Arial"/>
          <w:spacing w:val="-3"/>
          <w:sz w:val="20"/>
        </w:rPr>
        <w:t>).</w:t>
      </w:r>
    </w:p>
    <w:p w14:paraId="1101A043" w14:textId="0461D122" w:rsidR="005A3A72" w:rsidRPr="00954678" w:rsidRDefault="005A3A72" w:rsidP="004C1BE5">
      <w:pPr>
        <w:pStyle w:val="Heading2"/>
        <w:spacing w:before="0" w:after="120" w:line="247" w:lineRule="auto"/>
      </w:pPr>
      <w:bookmarkStart w:id="38" w:name="_Ref13648470"/>
      <w:r w:rsidRPr="00954678">
        <w:t>Stock options</w:t>
      </w:r>
      <w:bookmarkEnd w:id="17"/>
      <w:bookmarkEnd w:id="38"/>
      <w:r w:rsidRPr="00954678">
        <w:t xml:space="preserve"> </w:t>
      </w:r>
      <w:bookmarkEnd w:id="18"/>
    </w:p>
    <w:p w14:paraId="4059474C" w14:textId="5AF40CA3" w:rsidR="005A3A72" w:rsidRPr="00490F9F"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option is a standardized tradable contract that gives the owner the right to buy or sell a particular stock at a specified date in the future at a pre-determined price.</w:t>
      </w:r>
    </w:p>
    <w:p w14:paraId="7219B0FE" w14:textId="17A5522C" w:rsidR="005A3A72" w:rsidRPr="00954678" w:rsidRDefault="005A3A72" w:rsidP="004C1BE5">
      <w:pPr>
        <w:pStyle w:val="Heading2"/>
        <w:spacing w:before="0" w:after="120" w:line="247" w:lineRule="auto"/>
      </w:pPr>
      <w:bookmarkStart w:id="39" w:name="_Ref11421085"/>
      <w:r w:rsidRPr="00954678">
        <w:t>Stock futures</w:t>
      </w:r>
      <w:bookmarkEnd w:id="39"/>
      <w:r w:rsidRPr="00954678">
        <w:t xml:space="preserve"> </w:t>
      </w:r>
    </w:p>
    <w:p w14:paraId="6D6682A8" w14:textId="7661AD05" w:rsidR="005A3A72" w:rsidRPr="00490F9F"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future is a standardized tradable contract that gives the owner the obligation to buy or sell a particular stock at a specified date in the future at a pre-determined price.</w:t>
      </w:r>
    </w:p>
    <w:p w14:paraId="2F69908C" w14:textId="42BE2352" w:rsidR="005A3A72" w:rsidRPr="00954678" w:rsidRDefault="005A3A72" w:rsidP="004C1BE5">
      <w:pPr>
        <w:pStyle w:val="Heading2"/>
        <w:spacing w:before="0" w:after="120" w:line="247" w:lineRule="auto"/>
      </w:pPr>
      <w:bookmarkStart w:id="40" w:name="_Ref11421131"/>
      <w:r w:rsidRPr="00954678">
        <w:t>Stock index options</w:t>
      </w:r>
      <w:bookmarkEnd w:id="40"/>
      <w:r w:rsidRPr="00954678">
        <w:t xml:space="preserve"> </w:t>
      </w:r>
    </w:p>
    <w:p w14:paraId="15F34F01" w14:textId="2183683A" w:rsidR="005A3A72" w:rsidRPr="00490F9F"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index option is an option (right to buy or sell an underlying in the future) whose underlying reference is determined by the price of a specific stock index.</w:t>
      </w:r>
    </w:p>
    <w:p w14:paraId="25082A2D" w14:textId="37C27439" w:rsidR="005A3A72" w:rsidRPr="00954678" w:rsidRDefault="005A3A72" w:rsidP="004C1BE5">
      <w:pPr>
        <w:pStyle w:val="Heading2"/>
        <w:spacing w:before="0" w:after="120" w:line="247" w:lineRule="auto"/>
      </w:pPr>
      <w:bookmarkStart w:id="41" w:name="_Ref11421139"/>
      <w:r w:rsidRPr="00954678">
        <w:t>Stock index futures</w:t>
      </w:r>
      <w:bookmarkEnd w:id="41"/>
      <w:r w:rsidRPr="00954678">
        <w:t xml:space="preserve"> </w:t>
      </w:r>
    </w:p>
    <w:p w14:paraId="0F4F52DA" w14:textId="5B082507" w:rsidR="002B3360"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index future is a future (obligation to buy or sell an underlying in the future) whose underlying reference is determined by the price of a specific stock index.</w:t>
      </w:r>
    </w:p>
    <w:p w14:paraId="62816F0F" w14:textId="79CF6D1F" w:rsidR="00C53137" w:rsidRDefault="00C53137">
      <w:pPr>
        <w:rPr>
          <w:rFonts w:ascii="Arial" w:hAnsi="Arial" w:cs="Arial"/>
          <w:spacing w:val="-3"/>
          <w:sz w:val="20"/>
        </w:rPr>
      </w:pPr>
      <w:r>
        <w:rPr>
          <w:rFonts w:ascii="Arial" w:hAnsi="Arial" w:cs="Arial"/>
          <w:spacing w:val="-3"/>
          <w:sz w:val="20"/>
        </w:rPr>
        <w:br w:type="page"/>
      </w:r>
    </w:p>
    <w:p w14:paraId="259A48E2" w14:textId="68B279C2" w:rsidR="00C53137" w:rsidRDefault="00C53137" w:rsidP="000E7F4E">
      <w:pPr>
        <w:pStyle w:val="Heading1"/>
      </w:pPr>
      <w:bookmarkStart w:id="42" w:name="_Ref14257871"/>
      <w:r>
        <w:lastRenderedPageBreak/>
        <w:t>Appendix 2: Exchanges submitt</w:t>
      </w:r>
      <w:r w:rsidR="000E7F4E">
        <w:t>ing</w:t>
      </w:r>
      <w:r>
        <w:t xml:space="preserve"> Median Simple Spread data (as at August 2019)</w:t>
      </w:r>
      <w:bookmarkEnd w:id="42"/>
    </w:p>
    <w:p w14:paraId="1B2A4039" w14:textId="77777777" w:rsidR="00530517" w:rsidRDefault="00530517" w:rsidP="00530517">
      <w:pPr>
        <w:spacing w:after="0"/>
      </w:pPr>
    </w:p>
    <w:p w14:paraId="14EC426F" w14:textId="1A2511D8" w:rsidR="00530517" w:rsidRDefault="00530517" w:rsidP="00530517">
      <w:pPr>
        <w:spacing w:after="0"/>
      </w:pPr>
      <w:r>
        <w:t>Amman Stock Exchange</w:t>
      </w:r>
    </w:p>
    <w:p w14:paraId="0C264C92" w14:textId="77777777" w:rsidR="00806518" w:rsidRDefault="00806518" w:rsidP="00530517">
      <w:pPr>
        <w:spacing w:after="0"/>
      </w:pPr>
      <w:r>
        <w:t>Athens Stock Exchange</w:t>
      </w:r>
    </w:p>
    <w:p w14:paraId="46BD5B6A" w14:textId="43A0D55E" w:rsidR="00530517" w:rsidRDefault="00530517" w:rsidP="00530517">
      <w:pPr>
        <w:spacing w:after="0"/>
      </w:pPr>
      <w:r>
        <w:t xml:space="preserve">Australian </w:t>
      </w:r>
      <w:proofErr w:type="spellStart"/>
      <w:r>
        <w:t>Securites</w:t>
      </w:r>
      <w:proofErr w:type="spellEnd"/>
      <w:r>
        <w:t xml:space="preserve"> Exchange</w:t>
      </w:r>
    </w:p>
    <w:p w14:paraId="6968C919" w14:textId="77777777" w:rsidR="00530517" w:rsidRDefault="00530517" w:rsidP="00530517">
      <w:pPr>
        <w:spacing w:after="0"/>
      </w:pPr>
      <w:r>
        <w:t>B3</w:t>
      </w:r>
    </w:p>
    <w:p w14:paraId="73F7AAE1" w14:textId="7EB943CB" w:rsidR="00530517" w:rsidRDefault="00530517" w:rsidP="00530517">
      <w:pPr>
        <w:spacing w:after="0"/>
      </w:pPr>
      <w:r>
        <w:t>Bahrain</w:t>
      </w:r>
      <w:r w:rsidR="005B1ACF">
        <w:t xml:space="preserve"> Bourse</w:t>
      </w:r>
    </w:p>
    <w:p w14:paraId="7F638208" w14:textId="77777777" w:rsidR="00530517" w:rsidRPr="0094528E" w:rsidRDefault="00530517" w:rsidP="00530517">
      <w:pPr>
        <w:spacing w:after="0"/>
        <w:rPr>
          <w:lang w:val="it-IT"/>
        </w:rPr>
      </w:pPr>
      <w:r w:rsidRPr="0094528E">
        <w:rPr>
          <w:lang w:val="it-IT"/>
        </w:rPr>
        <w:t>BME Spanish Exchanges</w:t>
      </w:r>
    </w:p>
    <w:p w14:paraId="27805655" w14:textId="77777777" w:rsidR="00530517" w:rsidRPr="0094528E" w:rsidRDefault="00530517" w:rsidP="00530517">
      <w:pPr>
        <w:spacing w:after="0"/>
        <w:rPr>
          <w:lang w:val="it-IT"/>
        </w:rPr>
      </w:pPr>
      <w:r w:rsidRPr="0094528E">
        <w:rPr>
          <w:lang w:val="it-IT"/>
        </w:rPr>
        <w:t>Bolsa de Valores de Colombia</w:t>
      </w:r>
    </w:p>
    <w:p w14:paraId="017CC43D" w14:textId="0A4EF9A5" w:rsidR="00530517" w:rsidRPr="0094528E" w:rsidRDefault="00530517" w:rsidP="00530517">
      <w:pPr>
        <w:spacing w:after="0"/>
        <w:rPr>
          <w:lang w:val="it-IT"/>
        </w:rPr>
      </w:pPr>
      <w:r w:rsidRPr="0094528E">
        <w:rPr>
          <w:lang w:val="it-IT"/>
        </w:rPr>
        <w:t>Bolsa Mexica</w:t>
      </w:r>
      <w:r w:rsidR="00DA555D" w:rsidRPr="0094528E">
        <w:rPr>
          <w:lang w:val="it-IT"/>
        </w:rPr>
        <w:t>na</w:t>
      </w:r>
      <w:r w:rsidRPr="0094528E">
        <w:rPr>
          <w:lang w:val="it-IT"/>
        </w:rPr>
        <w:t xml:space="preserve"> de Valores</w:t>
      </w:r>
    </w:p>
    <w:p w14:paraId="2A8104F8" w14:textId="77777777" w:rsidR="00530517" w:rsidRDefault="00530517" w:rsidP="00530517">
      <w:pPr>
        <w:spacing w:after="0"/>
      </w:pPr>
      <w:r>
        <w:t>Bourse de Casablanca</w:t>
      </w:r>
    </w:p>
    <w:p w14:paraId="32A86966" w14:textId="77777777" w:rsidR="00530517" w:rsidRDefault="00530517" w:rsidP="00530517">
      <w:pPr>
        <w:spacing w:after="0"/>
      </w:pPr>
      <w:r>
        <w:t xml:space="preserve">BSE Limited </w:t>
      </w:r>
    </w:p>
    <w:p w14:paraId="01E04217" w14:textId="77777777" w:rsidR="00530517" w:rsidRDefault="00530517" w:rsidP="00530517">
      <w:pPr>
        <w:spacing w:after="0"/>
      </w:pPr>
      <w:r>
        <w:t>Bursa Malaysia</w:t>
      </w:r>
    </w:p>
    <w:p w14:paraId="135427E4" w14:textId="77777777" w:rsidR="00530517" w:rsidRDefault="00530517" w:rsidP="00530517">
      <w:pPr>
        <w:spacing w:after="0"/>
      </w:pPr>
      <w:r>
        <w:t>Colombo Stock Exchange</w:t>
      </w:r>
    </w:p>
    <w:p w14:paraId="1E8B0227" w14:textId="77777777" w:rsidR="00530517" w:rsidRDefault="00530517" w:rsidP="00530517">
      <w:pPr>
        <w:spacing w:after="0"/>
      </w:pPr>
      <w:r>
        <w:t>Cyprus Stock Exchange</w:t>
      </w:r>
    </w:p>
    <w:p w14:paraId="55DE5A5C" w14:textId="77777777" w:rsidR="00530517" w:rsidRDefault="00530517" w:rsidP="00530517">
      <w:pPr>
        <w:spacing w:after="0"/>
      </w:pPr>
      <w:r>
        <w:t>Euronext</w:t>
      </w:r>
    </w:p>
    <w:p w14:paraId="4E3D68DB" w14:textId="77777777" w:rsidR="00530517" w:rsidRDefault="00530517" w:rsidP="00530517">
      <w:pPr>
        <w:spacing w:after="0"/>
      </w:pPr>
      <w:proofErr w:type="spellStart"/>
      <w:r>
        <w:t>Hochiminh</w:t>
      </w:r>
      <w:proofErr w:type="spellEnd"/>
      <w:r>
        <w:t xml:space="preserve"> Stock Exchange</w:t>
      </w:r>
    </w:p>
    <w:p w14:paraId="24EC6B3B" w14:textId="77777777" w:rsidR="00530517" w:rsidRDefault="00530517" w:rsidP="00530517">
      <w:pPr>
        <w:spacing w:after="0"/>
      </w:pPr>
      <w:r>
        <w:t>Indonesia Stock Exchange</w:t>
      </w:r>
    </w:p>
    <w:p w14:paraId="07CC5FE2" w14:textId="77777777" w:rsidR="00530517" w:rsidRDefault="00530517" w:rsidP="00530517">
      <w:pPr>
        <w:spacing w:after="0"/>
      </w:pPr>
      <w:r>
        <w:t>Johannesburg Stock Exchange</w:t>
      </w:r>
    </w:p>
    <w:p w14:paraId="4687067E" w14:textId="77777777" w:rsidR="00530517" w:rsidRDefault="00530517" w:rsidP="00530517">
      <w:pPr>
        <w:spacing w:after="0"/>
      </w:pPr>
      <w:r>
        <w:t>Kazakhstan Stock Exchange</w:t>
      </w:r>
    </w:p>
    <w:p w14:paraId="4510DBC0" w14:textId="77777777" w:rsidR="00530517" w:rsidRDefault="00530517" w:rsidP="00530517">
      <w:pPr>
        <w:spacing w:after="0"/>
      </w:pPr>
      <w:r>
        <w:t>Korea Exchange</w:t>
      </w:r>
    </w:p>
    <w:p w14:paraId="32CB35A2" w14:textId="77777777" w:rsidR="00530517" w:rsidRDefault="00530517" w:rsidP="00530517">
      <w:pPr>
        <w:spacing w:after="0"/>
      </w:pPr>
      <w:r>
        <w:t>Luxembourg Stock Exchange</w:t>
      </w:r>
    </w:p>
    <w:p w14:paraId="38D55C5F" w14:textId="77777777" w:rsidR="00530517" w:rsidRDefault="00530517" w:rsidP="00530517">
      <w:pPr>
        <w:spacing w:after="0"/>
      </w:pPr>
      <w:r>
        <w:t>Moscow Exchange</w:t>
      </w:r>
    </w:p>
    <w:p w14:paraId="6C457E27" w14:textId="77777777" w:rsidR="00530517" w:rsidRDefault="00530517" w:rsidP="00530517">
      <w:pPr>
        <w:spacing w:after="0"/>
      </w:pPr>
      <w:r>
        <w:t>Muscat Securities Market</w:t>
      </w:r>
    </w:p>
    <w:p w14:paraId="41058F9C" w14:textId="77777777" w:rsidR="00530517" w:rsidRDefault="00530517" w:rsidP="00530517">
      <w:pPr>
        <w:spacing w:after="0"/>
      </w:pPr>
      <w:proofErr w:type="spellStart"/>
      <w:proofErr w:type="gramStart"/>
      <w:r>
        <w:t>Nasdaq</w:t>
      </w:r>
      <w:proofErr w:type="spellEnd"/>
      <w:proofErr w:type="gramEnd"/>
      <w:r>
        <w:t xml:space="preserve"> - US</w:t>
      </w:r>
    </w:p>
    <w:p w14:paraId="0D632DD0" w14:textId="77777777" w:rsidR="00530517" w:rsidRDefault="00530517" w:rsidP="00530517">
      <w:pPr>
        <w:spacing w:after="0"/>
      </w:pPr>
      <w:proofErr w:type="spellStart"/>
      <w:proofErr w:type="gramStart"/>
      <w:r>
        <w:t>Nasdaq</w:t>
      </w:r>
      <w:proofErr w:type="spellEnd"/>
      <w:proofErr w:type="gramEnd"/>
      <w:r>
        <w:t xml:space="preserve"> Nordic and Baltic Exchanges</w:t>
      </w:r>
    </w:p>
    <w:p w14:paraId="30E14BBF" w14:textId="77777777" w:rsidR="00530517" w:rsidRDefault="00530517" w:rsidP="00530517">
      <w:pPr>
        <w:spacing w:after="0"/>
      </w:pPr>
      <w:r>
        <w:t>National Stock Exchange of India</w:t>
      </w:r>
    </w:p>
    <w:p w14:paraId="4E23A74B" w14:textId="77777777" w:rsidR="00530517" w:rsidRDefault="00530517" w:rsidP="00530517">
      <w:pPr>
        <w:spacing w:after="0"/>
      </w:pPr>
      <w:r>
        <w:t>Nigerian Stock Exchange</w:t>
      </w:r>
    </w:p>
    <w:p w14:paraId="48D5B7F8" w14:textId="77777777" w:rsidR="00530517" w:rsidRDefault="00530517" w:rsidP="00530517">
      <w:pPr>
        <w:spacing w:after="0"/>
      </w:pPr>
      <w:r>
        <w:t>NZX Limited</w:t>
      </w:r>
    </w:p>
    <w:p w14:paraId="49FF891F" w14:textId="77777777" w:rsidR="00530517" w:rsidRDefault="00530517" w:rsidP="00530517">
      <w:pPr>
        <w:spacing w:after="0"/>
      </w:pPr>
      <w:r>
        <w:t xml:space="preserve">Oslo </w:t>
      </w:r>
      <w:proofErr w:type="spellStart"/>
      <w:r>
        <w:t>Bors</w:t>
      </w:r>
      <w:proofErr w:type="spellEnd"/>
    </w:p>
    <w:p w14:paraId="6B3C56E8" w14:textId="77777777" w:rsidR="00530517" w:rsidRDefault="00530517" w:rsidP="00530517">
      <w:pPr>
        <w:spacing w:after="0"/>
      </w:pPr>
      <w:r>
        <w:t>Palestine Exchange</w:t>
      </w:r>
    </w:p>
    <w:p w14:paraId="04DEEAA9" w14:textId="77777777" w:rsidR="00530517" w:rsidRDefault="00530517" w:rsidP="00530517">
      <w:pPr>
        <w:spacing w:after="0"/>
      </w:pPr>
      <w:r>
        <w:t>Qatar Stock Exchange</w:t>
      </w:r>
    </w:p>
    <w:p w14:paraId="76DD09EB" w14:textId="77777777" w:rsidR="00530517" w:rsidRDefault="00530517" w:rsidP="00530517">
      <w:pPr>
        <w:spacing w:after="0"/>
      </w:pPr>
      <w:r>
        <w:t>Shenzhen Stock Exchange</w:t>
      </w:r>
    </w:p>
    <w:p w14:paraId="18D262E0" w14:textId="77777777" w:rsidR="00530517" w:rsidRDefault="00530517" w:rsidP="00530517">
      <w:pPr>
        <w:spacing w:after="0"/>
      </w:pPr>
      <w:r>
        <w:t>Six Swiss Exchange</w:t>
      </w:r>
    </w:p>
    <w:p w14:paraId="5A27F16F" w14:textId="77777777" w:rsidR="00530517" w:rsidRDefault="00530517" w:rsidP="00530517">
      <w:pPr>
        <w:spacing w:after="0"/>
      </w:pPr>
      <w:r>
        <w:t>Stock Exchange of Mauritius</w:t>
      </w:r>
    </w:p>
    <w:p w14:paraId="496602CB" w14:textId="77777777" w:rsidR="00530517" w:rsidRDefault="00530517" w:rsidP="00530517">
      <w:pPr>
        <w:spacing w:after="0"/>
      </w:pPr>
      <w:r>
        <w:t>Taipei Exchange</w:t>
      </w:r>
    </w:p>
    <w:p w14:paraId="69860CEC" w14:textId="77777777" w:rsidR="00530517" w:rsidRDefault="00530517" w:rsidP="00530517">
      <w:pPr>
        <w:spacing w:after="0"/>
      </w:pPr>
      <w:r>
        <w:t>Tel Aviv Stock Exchange</w:t>
      </w:r>
    </w:p>
    <w:p w14:paraId="56AA9825" w14:textId="77777777" w:rsidR="00530517" w:rsidRDefault="00530517" w:rsidP="00530517">
      <w:pPr>
        <w:spacing w:after="0"/>
      </w:pPr>
      <w:r>
        <w:t>The Egyptian Exchange</w:t>
      </w:r>
    </w:p>
    <w:p w14:paraId="699B982F" w14:textId="77777777" w:rsidR="00530517" w:rsidRDefault="00530517" w:rsidP="00530517">
      <w:pPr>
        <w:spacing w:after="0"/>
      </w:pPr>
      <w:r>
        <w:t>The Philippine Stock Exchange</w:t>
      </w:r>
    </w:p>
    <w:p w14:paraId="1D227AF2" w14:textId="7E13E651" w:rsidR="004E0866" w:rsidRDefault="00530517" w:rsidP="00530517">
      <w:pPr>
        <w:spacing w:after="0"/>
      </w:pPr>
      <w:r>
        <w:t>The Stock Exchange of Thailand</w:t>
      </w:r>
    </w:p>
    <w:p w14:paraId="5C77A6B0" w14:textId="77777777" w:rsidR="004E0866" w:rsidRDefault="004E0866">
      <w:r>
        <w:br w:type="page"/>
      </w:r>
    </w:p>
    <w:p w14:paraId="3763837E" w14:textId="6BEFE6E3" w:rsidR="004E0866" w:rsidRPr="004E0866" w:rsidRDefault="004E0866" w:rsidP="004E0866">
      <w:pPr>
        <w:pStyle w:val="Heading1"/>
      </w:pPr>
      <w:bookmarkStart w:id="43" w:name="_Ref15477967"/>
      <w:r>
        <w:lastRenderedPageBreak/>
        <w:t xml:space="preserve">Appendix 3: </w:t>
      </w:r>
      <w:r w:rsidRPr="004E0866">
        <w:t>Note on exchange groupings</w:t>
      </w:r>
      <w:bookmarkEnd w:id="43"/>
    </w:p>
    <w:p w14:paraId="7FB85ADA" w14:textId="631A302B" w:rsidR="004E0866" w:rsidRPr="004E0866" w:rsidRDefault="00267993" w:rsidP="004E0866">
      <w:pPr>
        <w:spacing w:after="0"/>
        <w:rPr>
          <w:b/>
          <w:bCs/>
          <w:i/>
          <w:iCs/>
        </w:rPr>
      </w:pPr>
      <w:r w:rsidRPr="00267993">
        <w:rPr>
          <w:b/>
          <w:bCs/>
          <w:i/>
          <w:iCs/>
        </w:rPr>
        <w:t>(</w:t>
      </w:r>
      <w:proofErr w:type="gramStart"/>
      <w:r w:rsidRPr="00267993">
        <w:rPr>
          <w:b/>
          <w:bCs/>
          <w:i/>
          <w:iCs/>
        </w:rPr>
        <w:t>as</w:t>
      </w:r>
      <w:proofErr w:type="gramEnd"/>
      <w:r w:rsidRPr="00267993">
        <w:rPr>
          <w:b/>
          <w:bCs/>
          <w:i/>
          <w:iCs/>
        </w:rPr>
        <w:t xml:space="preserve"> at July 2019)</w:t>
      </w:r>
    </w:p>
    <w:p w14:paraId="66F79599" w14:textId="77777777" w:rsidR="00267993" w:rsidRDefault="00267993" w:rsidP="004C2E40">
      <w:pPr>
        <w:spacing w:after="0" w:line="240" w:lineRule="auto"/>
      </w:pPr>
    </w:p>
    <w:p w14:paraId="5E82547B" w14:textId="6D79712C" w:rsidR="004E0866" w:rsidRPr="004E0866" w:rsidRDefault="004E0866" w:rsidP="004C2E40">
      <w:pPr>
        <w:spacing w:after="0" w:line="240" w:lineRule="auto"/>
      </w:pPr>
      <w:r w:rsidRPr="004E0866">
        <w:t xml:space="preserve">The following exchange groups report as a single entity, although for some indicators (especially blue chip and broad market indices) the WFE reports data broken down at a venue level. </w:t>
      </w:r>
    </w:p>
    <w:p w14:paraId="42D48F6C" w14:textId="77777777" w:rsidR="004C2E40" w:rsidRDefault="004C2E40" w:rsidP="004C2E40">
      <w:pPr>
        <w:spacing w:after="0" w:line="240" w:lineRule="auto"/>
        <w:rPr>
          <w:b/>
          <w:bCs/>
          <w:u w:val="single"/>
        </w:rPr>
      </w:pPr>
    </w:p>
    <w:p w14:paraId="3382F6F9" w14:textId="7F92EE80" w:rsidR="004E0866" w:rsidRPr="004E0866" w:rsidRDefault="004E0866" w:rsidP="004C2E40">
      <w:pPr>
        <w:spacing w:after="0" w:line="240" w:lineRule="auto"/>
      </w:pPr>
      <w:r w:rsidRPr="004E0866">
        <w:rPr>
          <w:b/>
          <w:bCs/>
          <w:u w:val="single"/>
        </w:rPr>
        <w:t>Australian Securities Exchange</w:t>
      </w:r>
      <w:r w:rsidRPr="004E0866">
        <w:t xml:space="preserve"> (ASX Limited) reports all statistics as a unified entity. Prior to December 2015, they attributed derivatives statistics to separate entities, namely:</w:t>
      </w:r>
    </w:p>
    <w:p w14:paraId="17527C10" w14:textId="77777777" w:rsidR="004E0866" w:rsidRPr="004E0866" w:rsidRDefault="004E0866" w:rsidP="004C2E40">
      <w:pPr>
        <w:numPr>
          <w:ilvl w:val="0"/>
          <w:numId w:val="31"/>
        </w:numPr>
        <w:spacing w:after="0" w:line="240" w:lineRule="auto"/>
      </w:pPr>
      <w:r w:rsidRPr="004E0866">
        <w:t>ASX Derivatives Trading: Single Stock Options and Futures, Stock Index Options and Futures, ETF Options</w:t>
      </w:r>
    </w:p>
    <w:p w14:paraId="526E3A91" w14:textId="77777777" w:rsidR="004E0866" w:rsidRPr="004E0866" w:rsidRDefault="004E0866" w:rsidP="004C2E40">
      <w:pPr>
        <w:numPr>
          <w:ilvl w:val="0"/>
          <w:numId w:val="31"/>
        </w:numPr>
        <w:spacing w:after="0" w:line="240" w:lineRule="auto"/>
      </w:pPr>
      <w:r w:rsidRPr="004E0866">
        <w:t>ASX SFE Derivatives Trading: Stock Index Options and Futures, Interest Rate Options and Futures, Commodity Options and Futures</w:t>
      </w:r>
    </w:p>
    <w:p w14:paraId="5C94291F" w14:textId="77777777" w:rsidR="004C2E40" w:rsidRDefault="004C2E40" w:rsidP="004C2E40">
      <w:pPr>
        <w:spacing w:after="0" w:line="240" w:lineRule="auto"/>
        <w:rPr>
          <w:b/>
          <w:bCs/>
          <w:u w:val="single"/>
        </w:rPr>
      </w:pPr>
    </w:p>
    <w:p w14:paraId="7A2AEEEC" w14:textId="6F8F03DD" w:rsidR="004E0866" w:rsidRPr="004E0866" w:rsidRDefault="004E0866" w:rsidP="004C2E40">
      <w:pPr>
        <w:spacing w:after="0" w:line="240" w:lineRule="auto"/>
      </w:pPr>
      <w:proofErr w:type="spellStart"/>
      <w:r w:rsidRPr="004E0866">
        <w:rPr>
          <w:b/>
          <w:bCs/>
          <w:u w:val="single"/>
        </w:rPr>
        <w:t>Bolsas</w:t>
      </w:r>
      <w:proofErr w:type="spellEnd"/>
      <w:r w:rsidRPr="004E0866">
        <w:rPr>
          <w:b/>
          <w:bCs/>
          <w:u w:val="single"/>
        </w:rPr>
        <w:t xml:space="preserve"> y </w:t>
      </w:r>
      <w:proofErr w:type="spellStart"/>
      <w:r w:rsidRPr="004E0866">
        <w:rPr>
          <w:b/>
          <w:bCs/>
          <w:u w:val="single"/>
        </w:rPr>
        <w:t>Mercados</w:t>
      </w:r>
      <w:proofErr w:type="spellEnd"/>
      <w:r w:rsidRPr="004E0866">
        <w:rPr>
          <w:b/>
          <w:bCs/>
          <w:u w:val="single"/>
        </w:rPr>
        <w:t xml:space="preserve"> </w:t>
      </w:r>
      <w:proofErr w:type="spellStart"/>
      <w:r w:rsidRPr="004E0866">
        <w:rPr>
          <w:b/>
          <w:bCs/>
          <w:u w:val="single"/>
        </w:rPr>
        <w:t>Españoles</w:t>
      </w:r>
      <w:proofErr w:type="spellEnd"/>
      <w:r w:rsidRPr="004E0866">
        <w:rPr>
          <w:b/>
          <w:bCs/>
          <w:u w:val="single"/>
        </w:rPr>
        <w:t>, BME (Spanish Exchanges)</w:t>
      </w:r>
      <w:r w:rsidRPr="004E0866">
        <w:t xml:space="preserve"> is the holding company of:</w:t>
      </w:r>
    </w:p>
    <w:p w14:paraId="55F072E8" w14:textId="77777777" w:rsidR="004E0866" w:rsidRPr="004E0866" w:rsidRDefault="004E0866" w:rsidP="004C2E40">
      <w:pPr>
        <w:numPr>
          <w:ilvl w:val="0"/>
          <w:numId w:val="22"/>
        </w:numPr>
        <w:spacing w:after="0" w:line="240" w:lineRule="auto"/>
      </w:pPr>
      <w:r w:rsidRPr="004E0866">
        <w:t>BME Barcelona</w:t>
      </w:r>
    </w:p>
    <w:p w14:paraId="04750BF2" w14:textId="77777777" w:rsidR="004E0866" w:rsidRPr="004E0866" w:rsidRDefault="004E0866" w:rsidP="004C2E40">
      <w:pPr>
        <w:numPr>
          <w:ilvl w:val="0"/>
          <w:numId w:val="22"/>
        </w:numPr>
        <w:spacing w:after="0" w:line="240" w:lineRule="auto"/>
      </w:pPr>
      <w:r w:rsidRPr="004E0866">
        <w:t xml:space="preserve">BME Bilbao </w:t>
      </w:r>
    </w:p>
    <w:p w14:paraId="1957F857" w14:textId="77777777" w:rsidR="004E0866" w:rsidRPr="004E0866" w:rsidRDefault="004E0866" w:rsidP="004C2E40">
      <w:pPr>
        <w:numPr>
          <w:ilvl w:val="0"/>
          <w:numId w:val="22"/>
        </w:numPr>
        <w:spacing w:after="0" w:line="240" w:lineRule="auto"/>
      </w:pPr>
      <w:r w:rsidRPr="004E0866">
        <w:t xml:space="preserve">BME Madrid </w:t>
      </w:r>
    </w:p>
    <w:p w14:paraId="5EDEE8A3" w14:textId="77777777" w:rsidR="004E0866" w:rsidRPr="004E0866" w:rsidRDefault="004E0866" w:rsidP="004C2E40">
      <w:pPr>
        <w:numPr>
          <w:ilvl w:val="0"/>
          <w:numId w:val="22"/>
        </w:numPr>
        <w:spacing w:after="0" w:line="240" w:lineRule="auto"/>
      </w:pPr>
      <w:r w:rsidRPr="004E0866">
        <w:t xml:space="preserve">BME Valencia </w:t>
      </w:r>
    </w:p>
    <w:p w14:paraId="288F968C" w14:textId="77777777" w:rsidR="004E0866" w:rsidRPr="004E0866" w:rsidRDefault="004E0866" w:rsidP="004C2E40">
      <w:pPr>
        <w:numPr>
          <w:ilvl w:val="0"/>
          <w:numId w:val="22"/>
        </w:numPr>
        <w:spacing w:after="0" w:line="240" w:lineRule="auto"/>
      </w:pPr>
      <w:r w:rsidRPr="004E0866">
        <w:t xml:space="preserve">the </w:t>
      </w:r>
      <w:hyperlink r:id="rId15" w:tgtFrame="_blank" w:history="1">
        <w:r w:rsidRPr="004E0866">
          <w:rPr>
            <w:rStyle w:val="Hyperlink"/>
          </w:rPr>
          <w:t>MEFF</w:t>
        </w:r>
      </w:hyperlink>
      <w:r w:rsidRPr="004E0866">
        <w:t xml:space="preserve"> exchange</w:t>
      </w:r>
    </w:p>
    <w:p w14:paraId="379654CD" w14:textId="77777777" w:rsidR="004C2E40" w:rsidRDefault="004C2E40" w:rsidP="004C2E40">
      <w:pPr>
        <w:spacing w:after="0" w:line="240" w:lineRule="auto"/>
      </w:pPr>
    </w:p>
    <w:p w14:paraId="401C91EF" w14:textId="3AFA8392" w:rsidR="004E0866" w:rsidRPr="004E0866" w:rsidRDefault="004E0866" w:rsidP="004C2E40">
      <w:pPr>
        <w:spacing w:after="0" w:line="240" w:lineRule="auto"/>
      </w:pPr>
      <w:r w:rsidRPr="004E0866">
        <w:t>BME exchanges reported as separate entities till December 2008. Currently BME statistics are consolidated under BME – Spanish Exchanges. Broad market indices are still reported at an entity level.</w:t>
      </w:r>
    </w:p>
    <w:p w14:paraId="3DE71545" w14:textId="77777777" w:rsidR="004C2E40" w:rsidRDefault="004C2E40" w:rsidP="004C2E40">
      <w:pPr>
        <w:spacing w:after="0" w:line="240" w:lineRule="auto"/>
        <w:rPr>
          <w:b/>
          <w:bCs/>
          <w:u w:val="single"/>
        </w:rPr>
      </w:pPr>
    </w:p>
    <w:p w14:paraId="4FAADC07" w14:textId="1D40115E" w:rsidR="004E0866" w:rsidRPr="004E0866" w:rsidRDefault="004E0866" w:rsidP="004C2E40">
      <w:pPr>
        <w:spacing w:after="0" w:line="240" w:lineRule="auto"/>
      </w:pPr>
      <w:r w:rsidRPr="004E0866">
        <w:rPr>
          <w:b/>
          <w:bCs/>
          <w:u w:val="single"/>
        </w:rPr>
        <w:t>Bursa Malaysia</w:t>
      </w:r>
      <w:r w:rsidRPr="004E0866">
        <w:t xml:space="preserve"> is the holding company of:</w:t>
      </w:r>
    </w:p>
    <w:p w14:paraId="5474700F" w14:textId="77777777" w:rsidR="004E0866" w:rsidRPr="004E0866" w:rsidRDefault="004E0866" w:rsidP="004C2E40">
      <w:pPr>
        <w:numPr>
          <w:ilvl w:val="0"/>
          <w:numId w:val="29"/>
        </w:numPr>
        <w:spacing w:after="0" w:line="240" w:lineRule="auto"/>
      </w:pPr>
      <w:r w:rsidRPr="004E0866">
        <w:t>Bursa Malaysia (equity market)</w:t>
      </w:r>
    </w:p>
    <w:p w14:paraId="11FBC7DE" w14:textId="77777777" w:rsidR="004E0866" w:rsidRPr="004E0866" w:rsidRDefault="004E0866" w:rsidP="004C2E40">
      <w:pPr>
        <w:numPr>
          <w:ilvl w:val="0"/>
          <w:numId w:val="29"/>
        </w:numPr>
        <w:spacing w:after="0" w:line="240" w:lineRule="auto"/>
      </w:pPr>
      <w:r w:rsidRPr="004E0866">
        <w:t>Bursa Malaysia Derivatives (derivatives markets)</w:t>
      </w:r>
    </w:p>
    <w:p w14:paraId="491D5E0D" w14:textId="77777777" w:rsidR="004E0866" w:rsidRPr="004E0866" w:rsidRDefault="004E0866" w:rsidP="004C2E40">
      <w:pPr>
        <w:spacing w:after="0" w:line="240" w:lineRule="auto"/>
      </w:pPr>
      <w:r w:rsidRPr="004E0866">
        <w:t>Each of them reports as a separate entity.</w:t>
      </w:r>
    </w:p>
    <w:p w14:paraId="441F7DC8" w14:textId="77777777" w:rsidR="004C2E40" w:rsidRDefault="004C2E40" w:rsidP="004C2E40">
      <w:pPr>
        <w:spacing w:after="0" w:line="240" w:lineRule="auto"/>
        <w:rPr>
          <w:b/>
          <w:bCs/>
          <w:u w:val="single"/>
        </w:rPr>
      </w:pPr>
    </w:p>
    <w:p w14:paraId="5D30851A" w14:textId="6527D4E7" w:rsidR="004E0866" w:rsidRPr="004E0866" w:rsidRDefault="004E0866" w:rsidP="004C2E40">
      <w:pPr>
        <w:spacing w:after="0" w:line="240" w:lineRule="auto"/>
      </w:pPr>
      <w:proofErr w:type="spellStart"/>
      <w:r w:rsidRPr="004E0866">
        <w:rPr>
          <w:b/>
          <w:bCs/>
          <w:u w:val="single"/>
        </w:rPr>
        <w:t>Cboe</w:t>
      </w:r>
      <w:proofErr w:type="spellEnd"/>
      <w:r w:rsidRPr="004E0866">
        <w:rPr>
          <w:b/>
          <w:bCs/>
          <w:u w:val="single"/>
        </w:rPr>
        <w:t xml:space="preserve"> Global Markets</w:t>
      </w:r>
      <w:r w:rsidRPr="004E0866">
        <w:t xml:space="preserve"> is the holding company of:</w:t>
      </w:r>
    </w:p>
    <w:p w14:paraId="284E89F9" w14:textId="77777777" w:rsidR="004E0866" w:rsidRPr="004E0866" w:rsidRDefault="004E0866" w:rsidP="004C2E40">
      <w:pPr>
        <w:spacing w:after="0" w:line="240" w:lineRule="auto"/>
      </w:pPr>
      <w:r w:rsidRPr="004E0866">
        <w:t>Options markets:</w:t>
      </w:r>
    </w:p>
    <w:p w14:paraId="680FDF2F" w14:textId="77777777" w:rsidR="004E0866" w:rsidRPr="004E0866" w:rsidRDefault="004E0866" w:rsidP="004C2E40">
      <w:pPr>
        <w:numPr>
          <w:ilvl w:val="0"/>
          <w:numId w:val="26"/>
        </w:numPr>
        <w:spacing w:after="0" w:line="240" w:lineRule="auto"/>
      </w:pPr>
      <w:r w:rsidRPr="004E0866">
        <w:t>The Chicago Board Options Exchange (</w:t>
      </w:r>
      <w:proofErr w:type="spellStart"/>
      <w:r w:rsidRPr="004E0866">
        <w:t>Cboe</w:t>
      </w:r>
      <w:proofErr w:type="spellEnd"/>
      <w:r w:rsidRPr="004E0866">
        <w:t>)</w:t>
      </w:r>
    </w:p>
    <w:p w14:paraId="43F20416" w14:textId="77777777" w:rsidR="004E0866" w:rsidRPr="004E0866" w:rsidRDefault="004E0866" w:rsidP="004C2E40">
      <w:pPr>
        <w:numPr>
          <w:ilvl w:val="0"/>
          <w:numId w:val="26"/>
        </w:numPr>
        <w:spacing w:after="0" w:line="240" w:lineRule="auto"/>
      </w:pPr>
      <w:proofErr w:type="spellStart"/>
      <w:r w:rsidRPr="004E0866">
        <w:t>Cboe</w:t>
      </w:r>
      <w:proofErr w:type="spellEnd"/>
      <w:r w:rsidRPr="004E0866">
        <w:t xml:space="preserve"> C2 Options Exchange</w:t>
      </w:r>
    </w:p>
    <w:p w14:paraId="36939D0E" w14:textId="77777777" w:rsidR="004E0866" w:rsidRPr="004E0866" w:rsidRDefault="004E0866" w:rsidP="004C2E40">
      <w:pPr>
        <w:numPr>
          <w:ilvl w:val="0"/>
          <w:numId w:val="26"/>
        </w:numPr>
        <w:spacing w:after="0" w:line="240" w:lineRule="auto"/>
      </w:pPr>
      <w:proofErr w:type="spellStart"/>
      <w:r w:rsidRPr="004E0866">
        <w:t>Cboe</w:t>
      </w:r>
      <w:proofErr w:type="spellEnd"/>
      <w:r w:rsidRPr="004E0866">
        <w:t xml:space="preserve"> BZX Options Exchange</w:t>
      </w:r>
    </w:p>
    <w:p w14:paraId="57FCEC7D" w14:textId="77777777" w:rsidR="004E0866" w:rsidRPr="004E0866" w:rsidRDefault="004E0866" w:rsidP="004C2E40">
      <w:pPr>
        <w:numPr>
          <w:ilvl w:val="0"/>
          <w:numId w:val="26"/>
        </w:numPr>
        <w:spacing w:after="0" w:line="240" w:lineRule="auto"/>
      </w:pPr>
      <w:proofErr w:type="spellStart"/>
      <w:r w:rsidRPr="004E0866">
        <w:t>Cboe</w:t>
      </w:r>
      <w:proofErr w:type="spellEnd"/>
      <w:r w:rsidRPr="004E0866">
        <w:t xml:space="preserve"> EDGX Options Exchange</w:t>
      </w:r>
    </w:p>
    <w:p w14:paraId="52161D3E" w14:textId="77777777" w:rsidR="004C2E40" w:rsidRDefault="004C2E40" w:rsidP="004C2E40">
      <w:pPr>
        <w:spacing w:after="0" w:line="240" w:lineRule="auto"/>
      </w:pPr>
    </w:p>
    <w:p w14:paraId="0B9E1D7C" w14:textId="07292FA9" w:rsidR="004E0866" w:rsidRPr="004E0866" w:rsidRDefault="004E0866" w:rsidP="004C2E40">
      <w:pPr>
        <w:spacing w:after="0" w:line="240" w:lineRule="auto"/>
      </w:pPr>
      <w:r w:rsidRPr="004E0866">
        <w:t>US equity markets:</w:t>
      </w:r>
    </w:p>
    <w:p w14:paraId="4BDDC575" w14:textId="77777777" w:rsidR="004E0866" w:rsidRPr="004E0866" w:rsidRDefault="004E0866" w:rsidP="004C2E40">
      <w:pPr>
        <w:numPr>
          <w:ilvl w:val="0"/>
          <w:numId w:val="27"/>
        </w:numPr>
        <w:spacing w:after="0" w:line="240" w:lineRule="auto"/>
      </w:pPr>
      <w:r w:rsidRPr="004E0866">
        <w:t xml:space="preserve">BZX Exchange </w:t>
      </w:r>
    </w:p>
    <w:p w14:paraId="15ED082D" w14:textId="77777777" w:rsidR="004E0866" w:rsidRPr="004E0866" w:rsidRDefault="004E0866" w:rsidP="004C2E40">
      <w:pPr>
        <w:numPr>
          <w:ilvl w:val="0"/>
          <w:numId w:val="27"/>
        </w:numPr>
        <w:spacing w:after="0" w:line="240" w:lineRule="auto"/>
      </w:pPr>
      <w:r w:rsidRPr="004E0866">
        <w:t>BYX Exchange</w:t>
      </w:r>
    </w:p>
    <w:p w14:paraId="415F64B0" w14:textId="77777777" w:rsidR="004E0866" w:rsidRPr="004E0866" w:rsidRDefault="004E0866" w:rsidP="004C2E40">
      <w:pPr>
        <w:numPr>
          <w:ilvl w:val="0"/>
          <w:numId w:val="27"/>
        </w:numPr>
        <w:spacing w:after="0" w:line="240" w:lineRule="auto"/>
      </w:pPr>
      <w:r w:rsidRPr="004E0866">
        <w:t xml:space="preserve">EDGA Exchange </w:t>
      </w:r>
    </w:p>
    <w:p w14:paraId="2851D4B1" w14:textId="5B80601E" w:rsidR="004E0866" w:rsidRPr="004E0866" w:rsidRDefault="004E0866" w:rsidP="004C2E40">
      <w:pPr>
        <w:numPr>
          <w:ilvl w:val="0"/>
          <w:numId w:val="27"/>
        </w:numPr>
        <w:spacing w:after="0" w:line="240" w:lineRule="auto"/>
      </w:pPr>
      <w:r w:rsidRPr="004E0866">
        <w:t>EDGX Exchange</w:t>
      </w:r>
    </w:p>
    <w:p w14:paraId="250A1D0C" w14:textId="77777777" w:rsidR="004C2E40" w:rsidRDefault="004C2E40" w:rsidP="004C2E40">
      <w:pPr>
        <w:spacing w:after="0" w:line="240" w:lineRule="auto"/>
      </w:pPr>
    </w:p>
    <w:p w14:paraId="6659421F" w14:textId="356CABDD" w:rsidR="004E0866" w:rsidRPr="004E0866" w:rsidRDefault="004E0866" w:rsidP="004C2E40">
      <w:pPr>
        <w:spacing w:after="0" w:line="240" w:lineRule="auto"/>
      </w:pPr>
      <w:r w:rsidRPr="004E0866">
        <w:t>European equity markets:</w:t>
      </w:r>
    </w:p>
    <w:p w14:paraId="0AEEF6C8" w14:textId="6F4D4156" w:rsidR="004E0866" w:rsidRPr="004E0866" w:rsidRDefault="004E0866" w:rsidP="004C2E40">
      <w:pPr>
        <w:numPr>
          <w:ilvl w:val="0"/>
          <w:numId w:val="28"/>
        </w:numPr>
        <w:spacing w:after="0" w:line="240" w:lineRule="auto"/>
      </w:pPr>
      <w:proofErr w:type="spellStart"/>
      <w:r w:rsidRPr="004E0866">
        <w:t>Cboe</w:t>
      </w:r>
      <w:proofErr w:type="spellEnd"/>
      <w:r w:rsidRPr="004E0866">
        <w:t xml:space="preserve"> Europe </w:t>
      </w:r>
    </w:p>
    <w:p w14:paraId="466E025C" w14:textId="77777777" w:rsidR="004C2E40" w:rsidRDefault="004C2E40" w:rsidP="004C2E40">
      <w:pPr>
        <w:spacing w:after="0" w:line="240" w:lineRule="auto"/>
      </w:pPr>
    </w:p>
    <w:p w14:paraId="0C7E1440" w14:textId="10090E15" w:rsidR="004E0866" w:rsidRPr="004E0866" w:rsidRDefault="004E0866" w:rsidP="004C2E40">
      <w:pPr>
        <w:spacing w:after="0" w:line="240" w:lineRule="auto"/>
      </w:pPr>
      <w:r w:rsidRPr="004E0866">
        <w:t>Global FX markets:</w:t>
      </w:r>
    </w:p>
    <w:p w14:paraId="12C572D0" w14:textId="79F6A9DB" w:rsidR="004E0866" w:rsidRPr="004E0866" w:rsidRDefault="004E0866" w:rsidP="004C2E40">
      <w:pPr>
        <w:numPr>
          <w:ilvl w:val="0"/>
          <w:numId w:val="28"/>
        </w:numPr>
        <w:spacing w:after="0" w:line="240" w:lineRule="auto"/>
      </w:pPr>
      <w:proofErr w:type="spellStart"/>
      <w:r w:rsidRPr="004E0866">
        <w:t>Cboe</w:t>
      </w:r>
      <w:proofErr w:type="spellEnd"/>
      <w:r w:rsidRPr="004E0866">
        <w:t xml:space="preserve"> FX</w:t>
      </w:r>
    </w:p>
    <w:p w14:paraId="6C8185F9" w14:textId="77777777" w:rsidR="004C2E40" w:rsidRDefault="004C2E40" w:rsidP="004C2E40">
      <w:pPr>
        <w:spacing w:after="0" w:line="240" w:lineRule="auto"/>
      </w:pPr>
    </w:p>
    <w:p w14:paraId="0D5FD546" w14:textId="055D6F3F" w:rsidR="004E0866" w:rsidRPr="004E0866" w:rsidRDefault="004E0866" w:rsidP="004C2E40">
      <w:pPr>
        <w:spacing w:after="0" w:line="240" w:lineRule="auto"/>
      </w:pPr>
      <w:r w:rsidRPr="004E0866">
        <w:t xml:space="preserve">Statistics of </w:t>
      </w:r>
      <w:proofErr w:type="spellStart"/>
      <w:r w:rsidRPr="004E0866">
        <w:rPr>
          <w:u w:val="single"/>
        </w:rPr>
        <w:t>Cboe</w:t>
      </w:r>
      <w:proofErr w:type="spellEnd"/>
      <w:r w:rsidRPr="004E0866">
        <w:t xml:space="preserve"> are presented as follows: </w:t>
      </w:r>
    </w:p>
    <w:p w14:paraId="308596DA" w14:textId="77777777" w:rsidR="004E0866" w:rsidRPr="004E0866" w:rsidRDefault="004E0866" w:rsidP="004C2E40">
      <w:pPr>
        <w:numPr>
          <w:ilvl w:val="0"/>
          <w:numId w:val="21"/>
        </w:numPr>
        <w:spacing w:after="0" w:line="240" w:lineRule="auto"/>
      </w:pPr>
      <w:proofErr w:type="spellStart"/>
      <w:r w:rsidRPr="004E0866">
        <w:lastRenderedPageBreak/>
        <w:t>Cboe</w:t>
      </w:r>
      <w:proofErr w:type="spellEnd"/>
      <w:r w:rsidRPr="004E0866">
        <w:t xml:space="preserve"> Global Markets: including figures from the four options markets listed above as well as the US equities markets</w:t>
      </w:r>
      <w:proofErr w:type="gramStart"/>
      <w:r w:rsidRPr="004E0866">
        <w:t>..</w:t>
      </w:r>
      <w:proofErr w:type="gramEnd"/>
    </w:p>
    <w:p w14:paraId="0FF8FA6C" w14:textId="77777777" w:rsidR="004E0866" w:rsidRPr="004E0866" w:rsidRDefault="004E0866" w:rsidP="004C2E40">
      <w:pPr>
        <w:numPr>
          <w:ilvl w:val="0"/>
          <w:numId w:val="21"/>
        </w:numPr>
        <w:spacing w:after="0" w:line="240" w:lineRule="auto"/>
      </w:pPr>
      <w:proofErr w:type="spellStart"/>
      <w:r w:rsidRPr="004E0866">
        <w:t>Cboe</w:t>
      </w:r>
      <w:proofErr w:type="spellEnd"/>
      <w:r w:rsidRPr="004E0866">
        <w:t xml:space="preserve"> Europe: reporting as a stand-alone unit</w:t>
      </w:r>
    </w:p>
    <w:p w14:paraId="1EAB0284" w14:textId="0C9C54B5" w:rsidR="004E0866" w:rsidRPr="004E0866" w:rsidRDefault="004E0866" w:rsidP="004C2E40">
      <w:pPr>
        <w:numPr>
          <w:ilvl w:val="0"/>
          <w:numId w:val="21"/>
        </w:numPr>
        <w:spacing w:after="0" w:line="240" w:lineRule="auto"/>
      </w:pPr>
      <w:proofErr w:type="spellStart"/>
      <w:r w:rsidRPr="004E0866">
        <w:t>Cboe</w:t>
      </w:r>
      <w:proofErr w:type="spellEnd"/>
      <w:r w:rsidRPr="004E0866">
        <w:t xml:space="preserve"> Futures Exchange: reporting as a stand-alone unit</w:t>
      </w:r>
    </w:p>
    <w:p w14:paraId="7BA096A5" w14:textId="77777777" w:rsidR="004C2E40" w:rsidRDefault="004C2E40" w:rsidP="004C2E40">
      <w:pPr>
        <w:spacing w:after="0" w:line="240" w:lineRule="auto"/>
      </w:pPr>
    </w:p>
    <w:p w14:paraId="1E37A89D" w14:textId="3FFD833D" w:rsidR="004E0866" w:rsidRPr="004E0866" w:rsidRDefault="004E0866" w:rsidP="004C2E40">
      <w:pPr>
        <w:spacing w:after="0" w:line="240" w:lineRule="auto"/>
      </w:pPr>
      <w:proofErr w:type="spellStart"/>
      <w:r w:rsidRPr="004E0866">
        <w:t>Cboe</w:t>
      </w:r>
      <w:proofErr w:type="spellEnd"/>
      <w:r w:rsidRPr="004E0866">
        <w:t xml:space="preserve"> Global Markets acquired BATS Global Markets in September 2016. </w:t>
      </w:r>
      <w:proofErr w:type="spellStart"/>
      <w:r w:rsidRPr="004E0866">
        <w:t>Cboe</w:t>
      </w:r>
      <w:proofErr w:type="spellEnd"/>
      <w:r w:rsidRPr="004E0866">
        <w:t xml:space="preserve"> statistics started incorporating ex-BATS figures after February 2018. </w:t>
      </w:r>
    </w:p>
    <w:p w14:paraId="19F7A379" w14:textId="77777777" w:rsidR="004C2E40" w:rsidRDefault="004C2E40" w:rsidP="004C2E40">
      <w:pPr>
        <w:spacing w:after="0" w:line="240" w:lineRule="auto"/>
        <w:rPr>
          <w:b/>
          <w:bCs/>
          <w:u w:val="single"/>
        </w:rPr>
      </w:pPr>
    </w:p>
    <w:p w14:paraId="02F6525E" w14:textId="5AC02FD3" w:rsidR="004E0866" w:rsidRPr="004E0866" w:rsidRDefault="004E0866" w:rsidP="004C2E40">
      <w:pPr>
        <w:spacing w:after="0" w:line="240" w:lineRule="auto"/>
      </w:pPr>
      <w:r w:rsidRPr="004E0866">
        <w:rPr>
          <w:b/>
          <w:bCs/>
          <w:u w:val="single"/>
        </w:rPr>
        <w:t>CME Group</w:t>
      </w:r>
      <w:r w:rsidRPr="004E0866">
        <w:t xml:space="preserve"> is the holding company of:</w:t>
      </w:r>
    </w:p>
    <w:p w14:paraId="3EC285FD" w14:textId="77777777" w:rsidR="004E0866" w:rsidRPr="004E0866" w:rsidRDefault="004E0866" w:rsidP="004C2E40">
      <w:pPr>
        <w:numPr>
          <w:ilvl w:val="0"/>
          <w:numId w:val="22"/>
        </w:numPr>
        <w:spacing w:after="0" w:line="240" w:lineRule="auto"/>
      </w:pPr>
      <w:r w:rsidRPr="004E0866">
        <w:t>CME</w:t>
      </w:r>
    </w:p>
    <w:p w14:paraId="479B0A56" w14:textId="77777777" w:rsidR="004E0866" w:rsidRPr="004E0866" w:rsidRDefault="004E0866" w:rsidP="004C2E40">
      <w:pPr>
        <w:numPr>
          <w:ilvl w:val="0"/>
          <w:numId w:val="22"/>
        </w:numPr>
        <w:spacing w:after="0" w:line="240" w:lineRule="auto"/>
      </w:pPr>
      <w:r w:rsidRPr="004E0866">
        <w:t>CBOT</w:t>
      </w:r>
    </w:p>
    <w:p w14:paraId="21E86467" w14:textId="77777777" w:rsidR="004E0866" w:rsidRPr="004E0866" w:rsidRDefault="004E0866" w:rsidP="004C2E40">
      <w:pPr>
        <w:numPr>
          <w:ilvl w:val="0"/>
          <w:numId w:val="22"/>
        </w:numPr>
        <w:spacing w:after="0" w:line="240" w:lineRule="auto"/>
      </w:pPr>
      <w:r w:rsidRPr="004E0866">
        <w:t>NYMEX</w:t>
      </w:r>
    </w:p>
    <w:p w14:paraId="72AC1399" w14:textId="16D75EF0" w:rsidR="004E0866" w:rsidRPr="004E0866" w:rsidRDefault="004E0866" w:rsidP="004C2E40">
      <w:pPr>
        <w:numPr>
          <w:ilvl w:val="0"/>
          <w:numId w:val="22"/>
        </w:numPr>
        <w:spacing w:after="0" w:line="240" w:lineRule="auto"/>
      </w:pPr>
      <w:r w:rsidRPr="004E0866">
        <w:t>COMEX</w:t>
      </w:r>
    </w:p>
    <w:p w14:paraId="5C3375D0" w14:textId="77777777" w:rsidR="004C2E40" w:rsidRDefault="004C2E40" w:rsidP="004C2E40">
      <w:pPr>
        <w:spacing w:after="0" w:line="240" w:lineRule="auto"/>
      </w:pPr>
    </w:p>
    <w:p w14:paraId="09071D1F" w14:textId="4C470910" w:rsidR="004E0866" w:rsidRPr="004E0866" w:rsidRDefault="004E0866" w:rsidP="004C2E40">
      <w:pPr>
        <w:spacing w:after="0" w:line="240" w:lineRule="auto"/>
      </w:pPr>
      <w:r w:rsidRPr="004E0866">
        <w:t>CME Group statistics are consolidated under the name CME Group.</w:t>
      </w:r>
    </w:p>
    <w:p w14:paraId="345A18A5" w14:textId="77777777" w:rsidR="004C2E40" w:rsidRDefault="004C2E40" w:rsidP="004C2E40">
      <w:pPr>
        <w:spacing w:after="0" w:line="240" w:lineRule="auto"/>
        <w:rPr>
          <w:b/>
          <w:bCs/>
          <w:u w:val="single"/>
        </w:rPr>
      </w:pPr>
    </w:p>
    <w:p w14:paraId="7BB61626" w14:textId="3D3BA5F2" w:rsidR="004E0866" w:rsidRPr="004E0866" w:rsidRDefault="004E0866" w:rsidP="004C2E40">
      <w:pPr>
        <w:spacing w:after="0" w:line="240" w:lineRule="auto"/>
        <w:rPr>
          <w:b/>
          <w:bCs/>
        </w:rPr>
      </w:pPr>
      <w:r w:rsidRPr="004E0866">
        <w:rPr>
          <w:b/>
          <w:bCs/>
          <w:u w:val="single"/>
        </w:rPr>
        <w:t>Euronext</w:t>
      </w:r>
      <w:r w:rsidRPr="004E0866">
        <w:rPr>
          <w:b/>
          <w:bCs/>
        </w:rPr>
        <w:t xml:space="preserve"> </w:t>
      </w:r>
      <w:r w:rsidRPr="004E0866">
        <w:t xml:space="preserve">is the holding company of: </w:t>
      </w:r>
    </w:p>
    <w:p w14:paraId="137CBAF3" w14:textId="77777777" w:rsidR="004E0866" w:rsidRPr="004E0866" w:rsidRDefault="004E0866" w:rsidP="004C2E40">
      <w:pPr>
        <w:numPr>
          <w:ilvl w:val="0"/>
          <w:numId w:val="23"/>
        </w:numPr>
        <w:spacing w:after="0" w:line="240" w:lineRule="auto"/>
      </w:pPr>
      <w:r w:rsidRPr="004E0866">
        <w:t>Euronext Amsterdam</w:t>
      </w:r>
    </w:p>
    <w:p w14:paraId="331CBB98" w14:textId="77777777" w:rsidR="004E0866" w:rsidRPr="004E0866" w:rsidRDefault="004E0866" w:rsidP="004C2E40">
      <w:pPr>
        <w:numPr>
          <w:ilvl w:val="0"/>
          <w:numId w:val="23"/>
        </w:numPr>
        <w:spacing w:after="0" w:line="240" w:lineRule="auto"/>
      </w:pPr>
      <w:r w:rsidRPr="004E0866">
        <w:t>Euronext Brussels</w:t>
      </w:r>
    </w:p>
    <w:p w14:paraId="70557C59" w14:textId="77777777" w:rsidR="004E0866" w:rsidRPr="004E0866" w:rsidRDefault="004E0866" w:rsidP="004C2E40">
      <w:pPr>
        <w:numPr>
          <w:ilvl w:val="0"/>
          <w:numId w:val="23"/>
        </w:numPr>
        <w:spacing w:after="0" w:line="240" w:lineRule="auto"/>
      </w:pPr>
      <w:r w:rsidRPr="004E0866">
        <w:t>Euronext Dublin</w:t>
      </w:r>
    </w:p>
    <w:p w14:paraId="1A906323" w14:textId="77777777" w:rsidR="004E0866" w:rsidRPr="004E0866" w:rsidRDefault="004E0866" w:rsidP="004C2E40">
      <w:pPr>
        <w:numPr>
          <w:ilvl w:val="0"/>
          <w:numId w:val="23"/>
        </w:numPr>
        <w:spacing w:after="0" w:line="240" w:lineRule="auto"/>
      </w:pPr>
      <w:r w:rsidRPr="004E0866">
        <w:t>Euronext Lisbon</w:t>
      </w:r>
    </w:p>
    <w:p w14:paraId="3037F27C" w14:textId="77777777" w:rsidR="004E0866" w:rsidRPr="004E0866" w:rsidRDefault="004E0866" w:rsidP="004C2E40">
      <w:pPr>
        <w:numPr>
          <w:ilvl w:val="0"/>
          <w:numId w:val="23"/>
        </w:numPr>
        <w:spacing w:after="0" w:line="240" w:lineRule="auto"/>
      </w:pPr>
      <w:r w:rsidRPr="004E0866">
        <w:t>Euronext London</w:t>
      </w:r>
    </w:p>
    <w:p w14:paraId="538E1BCA" w14:textId="0C24D75A" w:rsidR="004E0866" w:rsidRPr="004E0866" w:rsidRDefault="004E0866" w:rsidP="004C2E40">
      <w:pPr>
        <w:numPr>
          <w:ilvl w:val="0"/>
          <w:numId w:val="23"/>
        </w:numPr>
        <w:spacing w:after="0" w:line="240" w:lineRule="auto"/>
      </w:pPr>
      <w:r w:rsidRPr="004E0866">
        <w:t>Euronext Paris</w:t>
      </w:r>
    </w:p>
    <w:p w14:paraId="10BC38FB" w14:textId="77777777" w:rsidR="004C2E40" w:rsidRDefault="004C2E40" w:rsidP="004C2E40">
      <w:pPr>
        <w:spacing w:after="0" w:line="240" w:lineRule="auto"/>
      </w:pPr>
    </w:p>
    <w:p w14:paraId="09579855" w14:textId="7F7042B6" w:rsidR="004E0866" w:rsidRPr="004E0866" w:rsidRDefault="004E0866" w:rsidP="004C2E40">
      <w:pPr>
        <w:spacing w:after="0" w:line="240" w:lineRule="auto"/>
      </w:pPr>
      <w:r w:rsidRPr="004E0866">
        <w:t xml:space="preserve">Euronext Amsterdam, Brussels and Paris reported as separate entities till December 2008. Euronext Lisbon reported as a separate entity till December 2015. The Irish Stock Exchange was acquired by Euronext in March 2018, and subsequently became Euronext Dublin. From January 2019, Euronext statistics include Euronext Dublin figures. Euronext Lisbon reports Blue Chip and Broad Market statistics as a separate entity. </w:t>
      </w:r>
    </w:p>
    <w:p w14:paraId="555BEDD7" w14:textId="77777777" w:rsidR="004C2E40" w:rsidRDefault="004C2E40" w:rsidP="004C2E40">
      <w:pPr>
        <w:spacing w:after="0" w:line="240" w:lineRule="auto"/>
        <w:rPr>
          <w:b/>
          <w:u w:val="single"/>
        </w:rPr>
      </w:pPr>
    </w:p>
    <w:p w14:paraId="228F0163" w14:textId="1FE2A836" w:rsidR="004E0866" w:rsidRPr="004E0866" w:rsidRDefault="004E0866" w:rsidP="004C2E40">
      <w:pPr>
        <w:spacing w:after="0" w:line="240" w:lineRule="auto"/>
      </w:pPr>
      <w:r w:rsidRPr="004E0866">
        <w:rPr>
          <w:b/>
          <w:u w:val="single"/>
        </w:rPr>
        <w:t>Hong Kong Exchanges and Clearing</w:t>
      </w:r>
      <w:r w:rsidRPr="004E0866">
        <w:t xml:space="preserve"> is the holding company of:</w:t>
      </w:r>
    </w:p>
    <w:p w14:paraId="63350742" w14:textId="77777777" w:rsidR="004E0866" w:rsidRPr="004E0866" w:rsidRDefault="004E0866" w:rsidP="004C2E40">
      <w:pPr>
        <w:numPr>
          <w:ilvl w:val="0"/>
          <w:numId w:val="32"/>
        </w:numPr>
        <w:spacing w:after="0" w:line="240" w:lineRule="auto"/>
      </w:pPr>
      <w:r w:rsidRPr="004E0866">
        <w:t>The Stock Exchange of Hong Kong Limited (SEHK)</w:t>
      </w:r>
    </w:p>
    <w:p w14:paraId="04646195" w14:textId="77777777" w:rsidR="004E0866" w:rsidRPr="004E0866" w:rsidRDefault="004E0866" w:rsidP="004C2E40">
      <w:pPr>
        <w:numPr>
          <w:ilvl w:val="0"/>
          <w:numId w:val="32"/>
        </w:numPr>
        <w:spacing w:after="0" w:line="240" w:lineRule="auto"/>
      </w:pPr>
      <w:r w:rsidRPr="004E0866">
        <w:t>Hong Kong Futures Exchange Limited (HKFE) </w:t>
      </w:r>
    </w:p>
    <w:p w14:paraId="19294AE7" w14:textId="32DFDCB0" w:rsidR="004E0866" w:rsidRPr="004E0866" w:rsidRDefault="004E0866" w:rsidP="004C2E40">
      <w:pPr>
        <w:numPr>
          <w:ilvl w:val="0"/>
          <w:numId w:val="32"/>
        </w:numPr>
        <w:spacing w:after="0" w:line="240" w:lineRule="auto"/>
      </w:pPr>
      <w:r w:rsidRPr="004E0866">
        <w:t>London Metal Exchange</w:t>
      </w:r>
    </w:p>
    <w:p w14:paraId="64DFADAF" w14:textId="77777777" w:rsidR="004C2E40" w:rsidRDefault="004C2E40" w:rsidP="004C2E40">
      <w:pPr>
        <w:spacing w:after="0" w:line="240" w:lineRule="auto"/>
      </w:pPr>
    </w:p>
    <w:p w14:paraId="771FBBAD" w14:textId="42C04339" w:rsidR="004E0866" w:rsidRPr="004E0866" w:rsidRDefault="004E0866" w:rsidP="004C2E40">
      <w:pPr>
        <w:spacing w:after="0" w:line="240" w:lineRule="auto"/>
      </w:pPr>
      <w:r w:rsidRPr="004E0866">
        <w:t>All statistics are reported under Hong Kong Exchanges and Clearing, apart from Commodities Options and Futures, which are reported by the London Metal Exchange.</w:t>
      </w:r>
    </w:p>
    <w:p w14:paraId="2F86A406" w14:textId="77777777" w:rsidR="004C2E40" w:rsidRDefault="004C2E40" w:rsidP="004C2E40">
      <w:pPr>
        <w:spacing w:after="0" w:line="240" w:lineRule="auto"/>
        <w:rPr>
          <w:b/>
          <w:bCs/>
          <w:u w:val="single"/>
        </w:rPr>
      </w:pPr>
    </w:p>
    <w:p w14:paraId="3773E667" w14:textId="7416F374" w:rsidR="004E0866" w:rsidRPr="004E0866" w:rsidRDefault="004E0866" w:rsidP="004C2E40">
      <w:pPr>
        <w:spacing w:after="0" w:line="240" w:lineRule="auto"/>
      </w:pPr>
      <w:r w:rsidRPr="004E0866">
        <w:rPr>
          <w:b/>
          <w:bCs/>
          <w:u w:val="single"/>
        </w:rPr>
        <w:t>Intercontinental Exchange</w:t>
      </w:r>
      <w:r w:rsidRPr="004E0866">
        <w:t xml:space="preserve"> is the holding company of:</w:t>
      </w:r>
    </w:p>
    <w:p w14:paraId="745AC44C" w14:textId="77777777" w:rsidR="004E0866" w:rsidRPr="004E0866" w:rsidRDefault="004E0866" w:rsidP="004C2E40">
      <w:pPr>
        <w:numPr>
          <w:ilvl w:val="0"/>
          <w:numId w:val="21"/>
        </w:numPr>
        <w:spacing w:after="0" w:line="240" w:lineRule="auto"/>
      </w:pPr>
      <w:r w:rsidRPr="004E0866">
        <w:t>The New York Stock Exchange (NYSE)</w:t>
      </w:r>
    </w:p>
    <w:p w14:paraId="5929915E" w14:textId="77777777" w:rsidR="004E0866" w:rsidRPr="004E0866" w:rsidRDefault="004E0866" w:rsidP="004C2E40">
      <w:pPr>
        <w:numPr>
          <w:ilvl w:val="0"/>
          <w:numId w:val="21"/>
        </w:numPr>
        <w:spacing w:after="0" w:line="240" w:lineRule="auto"/>
      </w:pPr>
      <w:r w:rsidRPr="004E0866">
        <w:t>ICE Futures US</w:t>
      </w:r>
    </w:p>
    <w:p w14:paraId="2ABAA36F" w14:textId="77777777" w:rsidR="004E0866" w:rsidRPr="004E0866" w:rsidRDefault="004E0866" w:rsidP="004C2E40">
      <w:pPr>
        <w:numPr>
          <w:ilvl w:val="0"/>
          <w:numId w:val="21"/>
        </w:numPr>
        <w:spacing w:after="0" w:line="240" w:lineRule="auto"/>
      </w:pPr>
      <w:r w:rsidRPr="004E0866">
        <w:t>ICE Futures Canada</w:t>
      </w:r>
    </w:p>
    <w:p w14:paraId="45AB2B1E" w14:textId="21A1540A" w:rsidR="004E0866" w:rsidRPr="004E0866" w:rsidRDefault="004E0866" w:rsidP="004C2E40">
      <w:pPr>
        <w:numPr>
          <w:ilvl w:val="0"/>
          <w:numId w:val="21"/>
        </w:numPr>
        <w:spacing w:after="0" w:line="240" w:lineRule="auto"/>
      </w:pPr>
      <w:r w:rsidRPr="004E0866">
        <w:t>ICE Futures Europe</w:t>
      </w:r>
    </w:p>
    <w:p w14:paraId="0CB61CBC" w14:textId="77777777" w:rsidR="004C2E40" w:rsidRDefault="004C2E40" w:rsidP="004C2E40">
      <w:pPr>
        <w:spacing w:after="0" w:line="240" w:lineRule="auto"/>
      </w:pPr>
    </w:p>
    <w:p w14:paraId="28009DFC" w14:textId="5B4F4FD2" w:rsidR="004E0866" w:rsidRPr="004E0866" w:rsidRDefault="004E0866" w:rsidP="004C2E40">
      <w:pPr>
        <w:spacing w:after="0" w:line="240" w:lineRule="auto"/>
      </w:pPr>
      <w:r w:rsidRPr="004E0866">
        <w:t>Each of them reports as a separate entity.</w:t>
      </w:r>
    </w:p>
    <w:p w14:paraId="5BCB3C57" w14:textId="77777777" w:rsidR="004C2E40" w:rsidRDefault="004C2E40" w:rsidP="004C2E40">
      <w:pPr>
        <w:spacing w:after="0" w:line="240" w:lineRule="auto"/>
        <w:rPr>
          <w:b/>
          <w:bCs/>
          <w:u w:val="single"/>
        </w:rPr>
      </w:pPr>
    </w:p>
    <w:p w14:paraId="7C037A3C" w14:textId="41790BEC" w:rsidR="004E0866" w:rsidRPr="004E0866" w:rsidRDefault="004E0866" w:rsidP="004C2E40">
      <w:pPr>
        <w:spacing w:after="0" w:line="240" w:lineRule="auto"/>
      </w:pPr>
      <w:r w:rsidRPr="004E0866">
        <w:rPr>
          <w:b/>
          <w:bCs/>
          <w:u w:val="single"/>
        </w:rPr>
        <w:t>Japan Exchange Group</w:t>
      </w:r>
      <w:r w:rsidRPr="004E0866">
        <w:t xml:space="preserve"> is the holding company of: </w:t>
      </w:r>
    </w:p>
    <w:p w14:paraId="2C75388C" w14:textId="77777777" w:rsidR="004E0866" w:rsidRPr="004E0866" w:rsidRDefault="004E0866" w:rsidP="004C2E40">
      <w:pPr>
        <w:numPr>
          <w:ilvl w:val="0"/>
          <w:numId w:val="28"/>
        </w:numPr>
        <w:spacing w:after="0" w:line="240" w:lineRule="auto"/>
      </w:pPr>
      <w:r w:rsidRPr="004E0866">
        <w:t>Tokyo Stock Exchange</w:t>
      </w:r>
    </w:p>
    <w:p w14:paraId="35EEA4D7" w14:textId="069213BA" w:rsidR="004E0866" w:rsidRPr="004E0866" w:rsidRDefault="004E0866" w:rsidP="004C2E40">
      <w:pPr>
        <w:numPr>
          <w:ilvl w:val="0"/>
          <w:numId w:val="28"/>
        </w:numPr>
        <w:spacing w:after="0" w:line="240" w:lineRule="auto"/>
      </w:pPr>
      <w:r w:rsidRPr="004E0866">
        <w:t>Osaka Stock Exchange</w:t>
      </w:r>
    </w:p>
    <w:p w14:paraId="3187C6E0" w14:textId="77777777" w:rsidR="004C2E40" w:rsidRDefault="004C2E40" w:rsidP="004C2E40">
      <w:pPr>
        <w:spacing w:after="0" w:line="240" w:lineRule="auto"/>
      </w:pPr>
    </w:p>
    <w:p w14:paraId="0B3BEC9C" w14:textId="1ED6CD1E" w:rsidR="004E0866" w:rsidRPr="004E0866" w:rsidRDefault="004E0866" w:rsidP="004C2E40">
      <w:pPr>
        <w:spacing w:after="0" w:line="240" w:lineRule="auto"/>
      </w:pPr>
      <w:r w:rsidRPr="004E0866">
        <w:t>Tokyo Stock Exchange and Osaka Stock Exchange reported as separate entities till December 2013.</w:t>
      </w:r>
    </w:p>
    <w:p w14:paraId="3671C920" w14:textId="77777777" w:rsidR="004C2E40" w:rsidRDefault="004C2E40" w:rsidP="004C2E40">
      <w:pPr>
        <w:spacing w:after="0" w:line="240" w:lineRule="auto"/>
        <w:rPr>
          <w:b/>
          <w:bCs/>
          <w:u w:val="single"/>
        </w:rPr>
      </w:pPr>
    </w:p>
    <w:p w14:paraId="78B56DB6" w14:textId="40E54416" w:rsidR="004E0866" w:rsidRPr="004E0866" w:rsidRDefault="004E0866" w:rsidP="004C2E40">
      <w:pPr>
        <w:spacing w:after="0" w:line="240" w:lineRule="auto"/>
      </w:pPr>
      <w:r w:rsidRPr="004E0866">
        <w:rPr>
          <w:b/>
          <w:bCs/>
          <w:u w:val="single"/>
        </w:rPr>
        <w:t>LSE Group</w:t>
      </w:r>
      <w:r w:rsidRPr="004E0866">
        <w:rPr>
          <w:b/>
          <w:bCs/>
        </w:rPr>
        <w:t xml:space="preserve"> </w:t>
      </w:r>
      <w:r w:rsidRPr="004E0866">
        <w:t>is the holding company of:</w:t>
      </w:r>
    </w:p>
    <w:p w14:paraId="633ED0C8" w14:textId="77777777" w:rsidR="004E0866" w:rsidRPr="004E0866" w:rsidRDefault="004E0866" w:rsidP="004C2E40">
      <w:pPr>
        <w:numPr>
          <w:ilvl w:val="0"/>
          <w:numId w:val="25"/>
        </w:numPr>
        <w:spacing w:after="0" w:line="240" w:lineRule="auto"/>
      </w:pPr>
      <w:r w:rsidRPr="004E0866">
        <w:t>London Stock Exchange</w:t>
      </w:r>
    </w:p>
    <w:p w14:paraId="53E60F56" w14:textId="64FAF867" w:rsidR="004E0866" w:rsidRPr="004E0866" w:rsidRDefault="004E0866" w:rsidP="004C2E40">
      <w:pPr>
        <w:numPr>
          <w:ilvl w:val="0"/>
          <w:numId w:val="25"/>
        </w:numPr>
        <w:spacing w:after="0" w:line="240" w:lineRule="auto"/>
      </w:pPr>
      <w:proofErr w:type="spellStart"/>
      <w:r w:rsidRPr="004E0866">
        <w:t>Borsa</w:t>
      </w:r>
      <w:proofErr w:type="spellEnd"/>
      <w:r w:rsidRPr="004E0866">
        <w:t xml:space="preserve"> </w:t>
      </w:r>
      <w:proofErr w:type="spellStart"/>
      <w:r w:rsidRPr="004E0866">
        <w:t>Italiana</w:t>
      </w:r>
      <w:proofErr w:type="spellEnd"/>
    </w:p>
    <w:p w14:paraId="429F987F" w14:textId="77777777" w:rsidR="004C2E40" w:rsidRDefault="004C2E40" w:rsidP="004C2E40">
      <w:pPr>
        <w:spacing w:after="0" w:line="240" w:lineRule="auto"/>
      </w:pPr>
    </w:p>
    <w:p w14:paraId="332BB943" w14:textId="463D8EE4" w:rsidR="004E0866" w:rsidRPr="004E0866" w:rsidRDefault="004E0866" w:rsidP="004C2E40">
      <w:pPr>
        <w:spacing w:after="0" w:line="240" w:lineRule="auto"/>
      </w:pPr>
      <w:r w:rsidRPr="004E0866">
        <w:t xml:space="preserve">London Stock Exchange and </w:t>
      </w:r>
      <w:proofErr w:type="spellStart"/>
      <w:r w:rsidRPr="004E0866">
        <w:t>Borsa</w:t>
      </w:r>
      <w:proofErr w:type="spellEnd"/>
      <w:r w:rsidRPr="004E0866">
        <w:t xml:space="preserve"> </w:t>
      </w:r>
      <w:proofErr w:type="spellStart"/>
      <w:r w:rsidRPr="004E0866">
        <w:t>Italiana</w:t>
      </w:r>
      <w:proofErr w:type="spellEnd"/>
      <w:r w:rsidRPr="004E0866">
        <w:t xml:space="preserve"> reported as separate entities till August 2010. Broad market and Blue-Chip indices are still reported at an entity level.</w:t>
      </w:r>
    </w:p>
    <w:p w14:paraId="38F03D4F" w14:textId="77777777" w:rsidR="004C2E40" w:rsidRDefault="004C2E40" w:rsidP="004C2E40">
      <w:pPr>
        <w:spacing w:after="0" w:line="240" w:lineRule="auto"/>
        <w:rPr>
          <w:b/>
          <w:bCs/>
          <w:u w:val="single"/>
        </w:rPr>
      </w:pPr>
    </w:p>
    <w:p w14:paraId="52B01C32" w14:textId="7FAA078A" w:rsidR="004E0866" w:rsidRPr="004E0866" w:rsidRDefault="004E0866" w:rsidP="004C2E40">
      <w:pPr>
        <w:spacing w:after="0" w:line="240" w:lineRule="auto"/>
      </w:pPr>
      <w:proofErr w:type="spellStart"/>
      <w:r w:rsidRPr="004E0866">
        <w:rPr>
          <w:b/>
          <w:bCs/>
          <w:u w:val="single"/>
        </w:rPr>
        <w:t>Nasdaq</w:t>
      </w:r>
      <w:proofErr w:type="spellEnd"/>
      <w:r w:rsidRPr="004E0866">
        <w:rPr>
          <w:b/>
          <w:bCs/>
          <w:u w:val="single"/>
        </w:rPr>
        <w:t xml:space="preserve"> Inc.</w:t>
      </w:r>
      <w:r w:rsidRPr="004E0866">
        <w:t xml:space="preserve"> is the holding company of: </w:t>
      </w:r>
    </w:p>
    <w:p w14:paraId="49368234" w14:textId="77777777"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(US)</w:t>
      </w:r>
    </w:p>
    <w:p w14:paraId="4B2DEF23" w14:textId="77777777" w:rsidR="004E0866" w:rsidRPr="004E0866" w:rsidRDefault="004E0866" w:rsidP="004C2E40">
      <w:pPr>
        <w:numPr>
          <w:ilvl w:val="0"/>
          <w:numId w:val="24"/>
        </w:numPr>
        <w:spacing w:after="0" w:line="240" w:lineRule="auto"/>
      </w:pPr>
      <w:r w:rsidRPr="004E0866">
        <w:t>The International Securities Exchange (ISE)</w:t>
      </w:r>
    </w:p>
    <w:p w14:paraId="3C3C0149" w14:textId="77777777"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Copenhagen (Copenhagen Stock Exchange)</w:t>
      </w:r>
    </w:p>
    <w:p w14:paraId="650A12C0" w14:textId="77777777"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Stockholm (Stockholm Stock Exchange)</w:t>
      </w:r>
    </w:p>
    <w:p w14:paraId="4E7E49A8" w14:textId="77777777"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Helsinki (Helsinki Stock Exchange)</w:t>
      </w:r>
    </w:p>
    <w:p w14:paraId="5DDCA02D" w14:textId="77777777"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Iceland (Iceland Stock Exchange)</w:t>
      </w:r>
    </w:p>
    <w:p w14:paraId="73F9B8A2" w14:textId="77777777"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Baltic: Tallinn Stock Exchange, Riga Stock Exchange and Vilnius Stock Exchange </w:t>
      </w:r>
    </w:p>
    <w:p w14:paraId="335815E8" w14:textId="7A71B9A9" w:rsidR="004E0866" w:rsidRPr="004E0866" w:rsidRDefault="004E0866" w:rsidP="004C2E40">
      <w:pPr>
        <w:numPr>
          <w:ilvl w:val="0"/>
          <w:numId w:val="24"/>
        </w:numPr>
        <w:spacing w:after="0" w:line="240" w:lineRule="auto"/>
      </w:pPr>
      <w:proofErr w:type="spellStart"/>
      <w:r w:rsidRPr="004E0866">
        <w:t>Nasdaq</w:t>
      </w:r>
      <w:proofErr w:type="spellEnd"/>
      <w:r w:rsidRPr="004E0866">
        <w:t xml:space="preserve"> OMX Armenia (Armenian Stock Exchange)</w:t>
      </w:r>
    </w:p>
    <w:p w14:paraId="2E83FB9B" w14:textId="77777777" w:rsidR="004C2E40" w:rsidRDefault="004C2E40" w:rsidP="004C2E40">
      <w:pPr>
        <w:spacing w:after="0" w:line="240" w:lineRule="auto"/>
      </w:pPr>
    </w:p>
    <w:p w14:paraId="554D35C1" w14:textId="736CC30F" w:rsidR="004E0866" w:rsidRPr="004E0866" w:rsidRDefault="004E0866" w:rsidP="004C2E40">
      <w:pPr>
        <w:spacing w:after="0" w:line="240" w:lineRule="auto"/>
      </w:pPr>
      <w:r w:rsidRPr="004E0866">
        <w:t xml:space="preserve">Statistics of </w:t>
      </w:r>
      <w:proofErr w:type="spellStart"/>
      <w:proofErr w:type="gramStart"/>
      <w:r w:rsidRPr="004E0866">
        <w:rPr>
          <w:u w:val="single"/>
        </w:rPr>
        <w:t>Nasdaq</w:t>
      </w:r>
      <w:proofErr w:type="spellEnd"/>
      <w:proofErr w:type="gramEnd"/>
      <w:r w:rsidRPr="004E0866">
        <w:rPr>
          <w:u w:val="single"/>
        </w:rPr>
        <w:t xml:space="preserve"> </w:t>
      </w:r>
      <w:r w:rsidRPr="004E0866">
        <w:t xml:space="preserve">are presented in two different groups: </w:t>
      </w:r>
    </w:p>
    <w:p w14:paraId="0E140A1A" w14:textId="77777777" w:rsidR="004E0866" w:rsidRPr="004E0866" w:rsidRDefault="004E0866" w:rsidP="004C2E40">
      <w:pPr>
        <w:numPr>
          <w:ilvl w:val="0"/>
          <w:numId w:val="21"/>
        </w:numPr>
        <w:spacing w:after="0" w:line="240" w:lineRule="auto"/>
      </w:pPr>
      <w:proofErr w:type="spellStart"/>
      <w:r w:rsidRPr="004E0866">
        <w:t>Nasdaq</w:t>
      </w:r>
      <w:proofErr w:type="spellEnd"/>
      <w:r w:rsidRPr="004E0866">
        <w:t xml:space="preserve"> (US) for USA statistics (excluding ISE)</w:t>
      </w:r>
    </w:p>
    <w:p w14:paraId="384985DC" w14:textId="4CB831B6" w:rsidR="004E0866" w:rsidRPr="004E0866" w:rsidRDefault="004E0866" w:rsidP="004C2E40">
      <w:pPr>
        <w:numPr>
          <w:ilvl w:val="0"/>
          <w:numId w:val="21"/>
        </w:numPr>
        <w:spacing w:after="0" w:line="240" w:lineRule="auto"/>
      </w:pPr>
      <w:proofErr w:type="spellStart"/>
      <w:r w:rsidRPr="004E0866">
        <w:t>Nasdaq</w:t>
      </w:r>
      <w:proofErr w:type="spellEnd"/>
      <w:r w:rsidRPr="004E0866">
        <w:t xml:space="preserve"> Nordic Exchange for European statistics. This includes Copenhagen, Helsinki, Iceland, Stockholm, Tallinn, Riga and Vilnius stock exchanges.</w:t>
      </w:r>
    </w:p>
    <w:p w14:paraId="3D70EA3C" w14:textId="77777777" w:rsidR="004C2E40" w:rsidRDefault="004C2E40" w:rsidP="004C2E40">
      <w:pPr>
        <w:spacing w:after="0" w:line="240" w:lineRule="auto"/>
      </w:pPr>
    </w:p>
    <w:p w14:paraId="08970E36" w14:textId="2608DF72" w:rsidR="004C2E40" w:rsidRDefault="004E0866" w:rsidP="004C2E40">
      <w:pPr>
        <w:spacing w:after="0" w:line="240" w:lineRule="auto"/>
      </w:pPr>
      <w:proofErr w:type="spellStart"/>
      <w:r w:rsidRPr="004E0866">
        <w:t>Nasdaq</w:t>
      </w:r>
      <w:proofErr w:type="spellEnd"/>
      <w:r w:rsidRPr="004E0866">
        <w:t xml:space="preserve"> Copenhagen, </w:t>
      </w:r>
      <w:proofErr w:type="spellStart"/>
      <w:r w:rsidRPr="004E0866">
        <w:t>Nasdaq</w:t>
      </w:r>
      <w:proofErr w:type="spellEnd"/>
      <w:r w:rsidRPr="004E0866">
        <w:t xml:space="preserve"> Stockholm and </w:t>
      </w:r>
      <w:proofErr w:type="spellStart"/>
      <w:r w:rsidRPr="004E0866">
        <w:t>Nasdaq</w:t>
      </w:r>
      <w:proofErr w:type="spellEnd"/>
      <w:r w:rsidRPr="004E0866">
        <w:t xml:space="preserve"> Helsinki reported as separate entities till </w:t>
      </w:r>
    </w:p>
    <w:p w14:paraId="7C5D7D65" w14:textId="1858252E" w:rsidR="004E0866" w:rsidRPr="004E0866" w:rsidRDefault="004E0866" w:rsidP="004C2E40">
      <w:pPr>
        <w:spacing w:after="0" w:line="240" w:lineRule="auto"/>
      </w:pPr>
      <w:r w:rsidRPr="004E0866">
        <w:t xml:space="preserve">December 2004. </w:t>
      </w:r>
      <w:proofErr w:type="spellStart"/>
      <w:r w:rsidRPr="004E0866">
        <w:t>Nasdaq</w:t>
      </w:r>
      <w:proofErr w:type="spellEnd"/>
      <w:r w:rsidRPr="004E0866">
        <w:t xml:space="preserve"> Stockholm and </w:t>
      </w:r>
      <w:proofErr w:type="spellStart"/>
      <w:r w:rsidRPr="004E0866">
        <w:t>Nasdaq</w:t>
      </w:r>
      <w:proofErr w:type="spellEnd"/>
      <w:r w:rsidRPr="004E0866">
        <w:t xml:space="preserve"> Helsinki report Blue Chip and Broad Market statistics as a separate entities.</w:t>
      </w:r>
    </w:p>
    <w:p w14:paraId="626D7C9B" w14:textId="77777777" w:rsidR="004C2E40" w:rsidRDefault="004C2E40" w:rsidP="004C2E40">
      <w:pPr>
        <w:spacing w:after="0" w:line="240" w:lineRule="auto"/>
        <w:rPr>
          <w:b/>
          <w:bCs/>
          <w:u w:val="single"/>
        </w:rPr>
      </w:pPr>
    </w:p>
    <w:p w14:paraId="0F9C5C83" w14:textId="2FD6E720" w:rsidR="004E0866" w:rsidRPr="004E0866" w:rsidRDefault="004E0866" w:rsidP="004C2E40">
      <w:pPr>
        <w:spacing w:after="0" w:line="240" w:lineRule="auto"/>
      </w:pPr>
      <w:r w:rsidRPr="004E0866">
        <w:rPr>
          <w:b/>
          <w:bCs/>
          <w:u w:val="single"/>
        </w:rPr>
        <w:t>The Stock Exchange of Thailand</w:t>
      </w:r>
      <w:r w:rsidRPr="004E0866">
        <w:t xml:space="preserve"> is the holding company of:</w:t>
      </w:r>
    </w:p>
    <w:p w14:paraId="7C95B3F3" w14:textId="77777777" w:rsidR="004E0866" w:rsidRPr="004E0866" w:rsidRDefault="004E0866" w:rsidP="004C2E40">
      <w:pPr>
        <w:numPr>
          <w:ilvl w:val="0"/>
          <w:numId w:val="29"/>
        </w:numPr>
        <w:spacing w:after="0" w:line="240" w:lineRule="auto"/>
      </w:pPr>
      <w:r w:rsidRPr="004E0866">
        <w:t>The Stock Exchange of Thailand (equity market)</w:t>
      </w:r>
    </w:p>
    <w:p w14:paraId="357F4D6E" w14:textId="7BDBCC0D" w:rsidR="004E0866" w:rsidRPr="004E0866" w:rsidRDefault="004E0866" w:rsidP="004C2E40">
      <w:pPr>
        <w:numPr>
          <w:ilvl w:val="0"/>
          <w:numId w:val="29"/>
        </w:numPr>
        <w:spacing w:after="0" w:line="240" w:lineRule="auto"/>
      </w:pPr>
      <w:r w:rsidRPr="004E0866">
        <w:t>The Thailand Futures Exchange (derivatives markets)</w:t>
      </w:r>
    </w:p>
    <w:p w14:paraId="76683847" w14:textId="77777777" w:rsidR="004C2E40" w:rsidRDefault="004C2E40" w:rsidP="004C2E40">
      <w:pPr>
        <w:spacing w:after="0" w:line="240" w:lineRule="auto"/>
      </w:pPr>
    </w:p>
    <w:p w14:paraId="4037F4E5" w14:textId="1D52392D" w:rsidR="004E0866" w:rsidRPr="004E0866" w:rsidRDefault="004E0866" w:rsidP="004C2E40">
      <w:pPr>
        <w:spacing w:after="0" w:line="240" w:lineRule="auto"/>
      </w:pPr>
      <w:r w:rsidRPr="004E0866">
        <w:t>Each of them reports as a separate entity.</w:t>
      </w:r>
    </w:p>
    <w:p w14:paraId="26C83025" w14:textId="77777777" w:rsidR="004C2E40" w:rsidRDefault="004C2E40" w:rsidP="004C2E40">
      <w:pPr>
        <w:spacing w:after="0" w:line="240" w:lineRule="auto"/>
        <w:rPr>
          <w:b/>
          <w:bCs/>
          <w:u w:val="single"/>
        </w:rPr>
      </w:pPr>
    </w:p>
    <w:p w14:paraId="409A0F1E" w14:textId="17440032" w:rsidR="004E0866" w:rsidRPr="004E0866" w:rsidRDefault="004E0866" w:rsidP="004C2E40">
      <w:pPr>
        <w:spacing w:after="0" w:line="240" w:lineRule="auto"/>
      </w:pPr>
      <w:r w:rsidRPr="004E0866">
        <w:rPr>
          <w:b/>
          <w:bCs/>
          <w:u w:val="single"/>
        </w:rPr>
        <w:t>TMX Group</w:t>
      </w:r>
      <w:r w:rsidRPr="004E0866">
        <w:t xml:space="preserve"> is the holding company of:</w:t>
      </w:r>
    </w:p>
    <w:p w14:paraId="7142BA0D" w14:textId="77777777" w:rsidR="004E0866" w:rsidRPr="004E0866" w:rsidRDefault="004E0866" w:rsidP="004C2E40">
      <w:pPr>
        <w:numPr>
          <w:ilvl w:val="0"/>
          <w:numId w:val="30"/>
        </w:numPr>
        <w:spacing w:after="0" w:line="240" w:lineRule="auto"/>
      </w:pPr>
      <w:r w:rsidRPr="004E0866">
        <w:t>Toronto Stock Exchange (equity market)</w:t>
      </w:r>
    </w:p>
    <w:p w14:paraId="27E881DB" w14:textId="77777777" w:rsidR="004E0866" w:rsidRPr="004E0866" w:rsidRDefault="004E0866" w:rsidP="004C2E40">
      <w:pPr>
        <w:numPr>
          <w:ilvl w:val="0"/>
          <w:numId w:val="30"/>
        </w:numPr>
        <w:spacing w:after="0" w:line="240" w:lineRule="auto"/>
      </w:pPr>
      <w:r w:rsidRPr="004E0866">
        <w:t>TSX Venture Exchange (equity market)</w:t>
      </w:r>
    </w:p>
    <w:p w14:paraId="1DCA6F39" w14:textId="77777777" w:rsidR="004E0866" w:rsidRPr="004E0866" w:rsidRDefault="004E0866" w:rsidP="004C2E40">
      <w:pPr>
        <w:numPr>
          <w:ilvl w:val="0"/>
          <w:numId w:val="30"/>
        </w:numPr>
        <w:spacing w:after="0" w:line="240" w:lineRule="auto"/>
      </w:pPr>
      <w:r w:rsidRPr="004E0866">
        <w:t>Montreal Exchange (derivatives market)</w:t>
      </w:r>
    </w:p>
    <w:p w14:paraId="463BF7B2" w14:textId="6B677B33" w:rsidR="004E0866" w:rsidRPr="004E0866" w:rsidRDefault="004E0866" w:rsidP="004C2E40">
      <w:pPr>
        <w:numPr>
          <w:ilvl w:val="0"/>
          <w:numId w:val="30"/>
        </w:numPr>
        <w:spacing w:after="0" w:line="240" w:lineRule="auto"/>
      </w:pPr>
      <w:r w:rsidRPr="004E0866">
        <w:t>Boston Options Exchange (derivatives market)</w:t>
      </w:r>
    </w:p>
    <w:p w14:paraId="358554D4" w14:textId="77777777" w:rsidR="004C2E40" w:rsidRDefault="004C2E40" w:rsidP="004C2E40">
      <w:pPr>
        <w:spacing w:after="0" w:line="240" w:lineRule="auto"/>
      </w:pPr>
    </w:p>
    <w:p w14:paraId="7C665D3D" w14:textId="0CDFB13D" w:rsidR="00565122" w:rsidRDefault="004E0866" w:rsidP="004C2E40">
      <w:pPr>
        <w:spacing w:after="0" w:line="240" w:lineRule="auto"/>
      </w:pPr>
      <w:r w:rsidRPr="004E0866">
        <w:t xml:space="preserve">Equity statistics for Toronto Stock Exchange and TSX Venture Exchange are reported under “TMX Group”. Montreal Exchange and Boston Options Exchange report as separate entities (though the Boston Options Exchange only provides annual derivatives data). </w:t>
      </w:r>
    </w:p>
    <w:p w14:paraId="7C9F3125" w14:textId="022D5D4B" w:rsidR="005A37E6" w:rsidRDefault="005A37E6" w:rsidP="004C2E40">
      <w:pPr>
        <w:spacing w:after="0" w:line="240" w:lineRule="auto"/>
      </w:pPr>
    </w:p>
    <w:p w14:paraId="2160BBAC" w14:textId="170C7C86" w:rsidR="005A37E6" w:rsidRDefault="005A37E6" w:rsidP="004C2E40">
      <w:pPr>
        <w:spacing w:after="0" w:line="240" w:lineRule="auto"/>
      </w:pPr>
    </w:p>
    <w:p w14:paraId="277E2EA4" w14:textId="77777777" w:rsidR="00D82EDC" w:rsidRDefault="00D82EDC" w:rsidP="00D82EDC">
      <w:pPr>
        <w:pStyle w:val="Heading1"/>
      </w:pPr>
    </w:p>
    <w:p w14:paraId="7A525553" w14:textId="77777777" w:rsidR="00D82EDC" w:rsidRDefault="00D82EDC" w:rsidP="00D82EDC">
      <w:pPr>
        <w:pStyle w:val="Heading1"/>
      </w:pPr>
    </w:p>
    <w:p w14:paraId="75C2FFCE" w14:textId="77777777" w:rsidR="00D82EDC" w:rsidRDefault="00D82EDC" w:rsidP="00D82EDC">
      <w:pPr>
        <w:pStyle w:val="Heading1"/>
        <w:sectPr w:rsidR="00D82EDC" w:rsidSect="00913AC6">
          <w:pgSz w:w="11906" w:h="16838"/>
          <w:pgMar w:top="1440" w:right="1440" w:bottom="1440" w:left="1440" w:header="708" w:footer="708" w:gutter="0"/>
          <w:cols w:space="708"/>
          <w:docGrid w:linePitch="360"/>
        </w:sectPr>
      </w:pPr>
    </w:p>
    <w:p w14:paraId="19335C33" w14:textId="7033867D" w:rsidR="005A37E6" w:rsidRDefault="00D82EDC" w:rsidP="00D82EDC">
      <w:pPr>
        <w:pStyle w:val="Heading1"/>
      </w:pPr>
      <w:r w:rsidRPr="005A37E6">
        <w:rPr>
          <w:noProof/>
          <w:lang w:eastAsia="en-GB"/>
        </w:rPr>
        <w:lastRenderedPageBreak/>
        <w:drawing>
          <wp:anchor distT="0" distB="0" distL="114300" distR="114300" simplePos="0" relativeHeight="251658752" behindDoc="0" locked="0" layoutInCell="1" allowOverlap="1" wp14:anchorId="6559A870" wp14:editId="23D05DF2">
            <wp:simplePos x="0" y="0"/>
            <wp:positionH relativeFrom="margin">
              <wp:align>left</wp:align>
            </wp:positionH>
            <wp:positionV relativeFrom="paragraph">
              <wp:posOffset>472744</wp:posOffset>
            </wp:positionV>
            <wp:extent cx="8634730" cy="5247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7087" cy="5255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2EDC">
        <w:t xml:space="preserve">Appendix 4: Guidelines on new listings/investment flows </w:t>
      </w:r>
      <w:proofErr w:type="spellStart"/>
      <w:r w:rsidRPr="00D82EDC">
        <w:t>submissio</w:t>
      </w:r>
      <w:proofErr w:type="spellEnd"/>
    </w:p>
    <w:sectPr w:rsidR="005A37E6" w:rsidSect="00D82E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95B5" w14:textId="77777777" w:rsidR="00F05665" w:rsidRDefault="00F05665" w:rsidP="00A55E94">
      <w:pPr>
        <w:spacing w:after="0" w:line="240" w:lineRule="auto"/>
      </w:pPr>
      <w:r>
        <w:separator/>
      </w:r>
    </w:p>
  </w:endnote>
  <w:endnote w:type="continuationSeparator" w:id="0">
    <w:p w14:paraId="0B59FE4F" w14:textId="77777777" w:rsidR="00F05665" w:rsidRDefault="00F05665" w:rsidP="00A5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74056"/>
      <w:docPartObj>
        <w:docPartGallery w:val="Page Numbers (Bottom of Page)"/>
        <w:docPartUnique/>
      </w:docPartObj>
    </w:sdtPr>
    <w:sdtEndPr>
      <w:rPr>
        <w:noProof/>
      </w:rPr>
    </w:sdtEndPr>
    <w:sdtContent>
      <w:p w14:paraId="1A5CD0DE" w14:textId="7BDF3BBA" w:rsidR="007E14EB" w:rsidRDefault="007E14EB">
        <w:pPr>
          <w:pStyle w:val="Footer"/>
          <w:jc w:val="right"/>
        </w:pPr>
        <w:r>
          <w:fldChar w:fldCharType="begin"/>
        </w:r>
        <w:r>
          <w:instrText xml:space="preserve"> PAGE   \* MERGEFORMAT </w:instrText>
        </w:r>
        <w:r>
          <w:fldChar w:fldCharType="separate"/>
        </w:r>
        <w:r w:rsidR="005E192C">
          <w:rPr>
            <w:noProof/>
          </w:rPr>
          <w:t>21</w:t>
        </w:r>
        <w:r>
          <w:rPr>
            <w:noProof/>
          </w:rPr>
          <w:fldChar w:fldCharType="end"/>
        </w:r>
      </w:p>
    </w:sdtContent>
  </w:sdt>
  <w:p w14:paraId="4FC07F51" w14:textId="77777777" w:rsidR="007E14EB" w:rsidRDefault="007E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3E70" w14:textId="77777777" w:rsidR="00F05665" w:rsidRDefault="00F05665" w:rsidP="00A55E94">
      <w:pPr>
        <w:spacing w:after="0" w:line="240" w:lineRule="auto"/>
      </w:pPr>
      <w:r>
        <w:separator/>
      </w:r>
    </w:p>
  </w:footnote>
  <w:footnote w:type="continuationSeparator" w:id="0">
    <w:p w14:paraId="1E1CC45E" w14:textId="77777777" w:rsidR="00F05665" w:rsidRDefault="00F05665" w:rsidP="00A55E94">
      <w:pPr>
        <w:spacing w:after="0" w:line="240" w:lineRule="auto"/>
      </w:pPr>
      <w:r>
        <w:continuationSeparator/>
      </w:r>
    </w:p>
  </w:footnote>
  <w:footnote w:id="1">
    <w:p w14:paraId="11676716" w14:textId="324F53F8" w:rsidR="007E14EB" w:rsidRDefault="007E14EB" w:rsidP="006544CE">
      <w:pPr>
        <w:pStyle w:val="FootnoteText"/>
        <w:jc w:val="both"/>
      </w:pPr>
      <w:r>
        <w:rPr>
          <w:rStyle w:val="FootnoteReference"/>
        </w:rPr>
        <w:footnoteRef/>
      </w:r>
      <w:r>
        <w:t xml:space="preserve"> For the following indicators: </w:t>
      </w:r>
      <w:r w:rsidRPr="006544CE">
        <w:t>Number of new listings through IPO</w:t>
      </w:r>
      <w:r>
        <w:t xml:space="preserve"> (Domestic, Foreign, Total); </w:t>
      </w:r>
      <w:r w:rsidRPr="006544CE">
        <w:t>Number of new listings not through IPO</w:t>
      </w:r>
      <w:r>
        <w:t xml:space="preserve"> (Domestic, Foreign, Total);</w:t>
      </w:r>
      <w:r w:rsidRPr="006544CE">
        <w:t xml:space="preserve"> Capital raised through IPO</w:t>
      </w:r>
      <w:r>
        <w:t xml:space="preserve"> (</w:t>
      </w:r>
      <w:r w:rsidRPr="006544CE">
        <w:t>Newly issued shares</w:t>
      </w:r>
      <w:r>
        <w:t xml:space="preserve">, Already Issued Shares); </w:t>
      </w:r>
      <w:r w:rsidRPr="006544CE">
        <w:t>Capital raised by already listed companies</w:t>
      </w:r>
      <w:r>
        <w:t xml:space="preserve"> (</w:t>
      </w:r>
      <w:r w:rsidRPr="006544CE">
        <w:t>Newly issued shares, Already Issued Shares)</w:t>
      </w:r>
      <w:r>
        <w:t>, please refer to Appendix 4 for additional guidelines.</w:t>
      </w:r>
    </w:p>
  </w:footnote>
  <w:footnote w:id="2">
    <w:p w14:paraId="695E352E" w14:textId="07C8F7B4" w:rsidR="007E14EB" w:rsidRDefault="007E14EB">
      <w:pPr>
        <w:pStyle w:val="FootnoteText"/>
      </w:pPr>
      <w:r>
        <w:rPr>
          <w:rStyle w:val="FootnoteReference"/>
        </w:rPr>
        <w:footnoteRef/>
      </w:r>
      <w:r>
        <w:t xml:space="preserve"> Please refer to Appendix 4 for further guidelines on the indicators contained in this product. </w:t>
      </w:r>
    </w:p>
  </w:footnote>
  <w:footnote w:id="3">
    <w:p w14:paraId="1EDA9807" w14:textId="77777777" w:rsidR="007E14EB" w:rsidRDefault="007E14EB" w:rsidP="00765D4E">
      <w:pPr>
        <w:pStyle w:val="FootnoteText"/>
      </w:pPr>
      <w:r>
        <w:rPr>
          <w:rStyle w:val="FootnoteReference"/>
        </w:rPr>
        <w:footnoteRef/>
      </w:r>
      <w:r>
        <w:t xml:space="preserve"> The ISO 3166 codes can be found </w:t>
      </w:r>
      <w:hyperlink r:id="rId1" w:anchor="search" w:history="1">
        <w:r w:rsidRPr="00DC3E22">
          <w:rPr>
            <w:rStyle w:val="Hyperlink"/>
          </w:rPr>
          <w:t>here</w:t>
        </w:r>
      </w:hyperlink>
      <w:r>
        <w:t>.</w:t>
      </w:r>
    </w:p>
  </w:footnote>
  <w:footnote w:id="4">
    <w:p w14:paraId="43070FB2" w14:textId="77777777" w:rsidR="007E14EB" w:rsidRDefault="007E14EB" w:rsidP="00765D4E">
      <w:pPr>
        <w:pStyle w:val="FootnoteText"/>
      </w:pPr>
      <w:r>
        <w:rPr>
          <w:rStyle w:val="FootnoteReference"/>
        </w:rPr>
        <w:footnoteRef/>
      </w:r>
      <w:r>
        <w:t xml:space="preserve"> For more information on the FTSE </w:t>
      </w:r>
      <w:proofErr w:type="spellStart"/>
      <w:r>
        <w:t>Russel</w:t>
      </w:r>
      <w:proofErr w:type="spellEnd"/>
      <w:r>
        <w:t xml:space="preserve"> ICB standard, please click </w:t>
      </w:r>
      <w:hyperlink r:id="rId2" w:history="1">
        <w:r w:rsidRPr="00852C72">
          <w:rPr>
            <w:rStyle w:val="Hyperlink"/>
          </w:rPr>
          <w:t>here</w:t>
        </w:r>
      </w:hyperlink>
      <w:r>
        <w:t>.</w:t>
      </w:r>
    </w:p>
  </w:footnote>
  <w:footnote w:id="5">
    <w:p w14:paraId="00F200A0" w14:textId="77777777" w:rsidR="007E14EB" w:rsidRDefault="007E14EB" w:rsidP="00765D4E">
      <w:pPr>
        <w:pStyle w:val="FootnoteText"/>
      </w:pPr>
      <w:r>
        <w:rPr>
          <w:rStyle w:val="FootnoteReference"/>
        </w:rPr>
        <w:footnoteRef/>
      </w:r>
      <w:r>
        <w:t xml:space="preserve"> For more information on the MSCI GICS standard, please click </w:t>
      </w:r>
      <w:hyperlink r:id="rId3" w:history="1">
        <w:r w:rsidRPr="00852C72">
          <w:rPr>
            <w:rStyle w:val="Hyperlink"/>
          </w:rPr>
          <w:t>here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EBA"/>
    <w:multiLevelType w:val="hybridMultilevel"/>
    <w:tmpl w:val="D1F0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F17ED"/>
    <w:multiLevelType w:val="hybridMultilevel"/>
    <w:tmpl w:val="2DC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C62BB"/>
    <w:multiLevelType w:val="hybridMultilevel"/>
    <w:tmpl w:val="C55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73336"/>
    <w:multiLevelType w:val="hybridMultilevel"/>
    <w:tmpl w:val="9DE4B228"/>
    <w:lvl w:ilvl="0" w:tplc="2AB480D2">
      <w:start w:val="1"/>
      <w:numFmt w:val="bullet"/>
      <w:lvlText w:val="▪"/>
      <w:lvlJc w:val="left"/>
      <w:pPr>
        <w:tabs>
          <w:tab w:val="num" w:pos="720"/>
        </w:tabs>
        <w:ind w:left="720" w:hanging="360"/>
      </w:pPr>
      <w:rPr>
        <w:rFonts w:ascii="Arial" w:hAnsi="Arial" w:hint="default"/>
      </w:rPr>
    </w:lvl>
    <w:lvl w:ilvl="1" w:tplc="A1945376" w:tentative="1">
      <w:start w:val="1"/>
      <w:numFmt w:val="bullet"/>
      <w:lvlText w:val="▪"/>
      <w:lvlJc w:val="left"/>
      <w:pPr>
        <w:tabs>
          <w:tab w:val="num" w:pos="1440"/>
        </w:tabs>
        <w:ind w:left="1440" w:hanging="360"/>
      </w:pPr>
      <w:rPr>
        <w:rFonts w:ascii="Arial" w:hAnsi="Arial" w:hint="default"/>
      </w:rPr>
    </w:lvl>
    <w:lvl w:ilvl="2" w:tplc="559EF8CC" w:tentative="1">
      <w:start w:val="1"/>
      <w:numFmt w:val="bullet"/>
      <w:lvlText w:val="▪"/>
      <w:lvlJc w:val="left"/>
      <w:pPr>
        <w:tabs>
          <w:tab w:val="num" w:pos="2160"/>
        </w:tabs>
        <w:ind w:left="2160" w:hanging="360"/>
      </w:pPr>
      <w:rPr>
        <w:rFonts w:ascii="Arial" w:hAnsi="Arial" w:hint="default"/>
      </w:rPr>
    </w:lvl>
    <w:lvl w:ilvl="3" w:tplc="3E746F30" w:tentative="1">
      <w:start w:val="1"/>
      <w:numFmt w:val="bullet"/>
      <w:lvlText w:val="▪"/>
      <w:lvlJc w:val="left"/>
      <w:pPr>
        <w:tabs>
          <w:tab w:val="num" w:pos="2880"/>
        </w:tabs>
        <w:ind w:left="2880" w:hanging="360"/>
      </w:pPr>
      <w:rPr>
        <w:rFonts w:ascii="Arial" w:hAnsi="Arial" w:hint="default"/>
      </w:rPr>
    </w:lvl>
    <w:lvl w:ilvl="4" w:tplc="E962FF6C" w:tentative="1">
      <w:start w:val="1"/>
      <w:numFmt w:val="bullet"/>
      <w:lvlText w:val="▪"/>
      <w:lvlJc w:val="left"/>
      <w:pPr>
        <w:tabs>
          <w:tab w:val="num" w:pos="3600"/>
        </w:tabs>
        <w:ind w:left="3600" w:hanging="360"/>
      </w:pPr>
      <w:rPr>
        <w:rFonts w:ascii="Arial" w:hAnsi="Arial" w:hint="default"/>
      </w:rPr>
    </w:lvl>
    <w:lvl w:ilvl="5" w:tplc="7ECCF41A" w:tentative="1">
      <w:start w:val="1"/>
      <w:numFmt w:val="bullet"/>
      <w:lvlText w:val="▪"/>
      <w:lvlJc w:val="left"/>
      <w:pPr>
        <w:tabs>
          <w:tab w:val="num" w:pos="4320"/>
        </w:tabs>
        <w:ind w:left="4320" w:hanging="360"/>
      </w:pPr>
      <w:rPr>
        <w:rFonts w:ascii="Arial" w:hAnsi="Arial" w:hint="default"/>
      </w:rPr>
    </w:lvl>
    <w:lvl w:ilvl="6" w:tplc="23969BDE" w:tentative="1">
      <w:start w:val="1"/>
      <w:numFmt w:val="bullet"/>
      <w:lvlText w:val="▪"/>
      <w:lvlJc w:val="left"/>
      <w:pPr>
        <w:tabs>
          <w:tab w:val="num" w:pos="5040"/>
        </w:tabs>
        <w:ind w:left="5040" w:hanging="360"/>
      </w:pPr>
      <w:rPr>
        <w:rFonts w:ascii="Arial" w:hAnsi="Arial" w:hint="default"/>
      </w:rPr>
    </w:lvl>
    <w:lvl w:ilvl="7" w:tplc="385CA376" w:tentative="1">
      <w:start w:val="1"/>
      <w:numFmt w:val="bullet"/>
      <w:lvlText w:val="▪"/>
      <w:lvlJc w:val="left"/>
      <w:pPr>
        <w:tabs>
          <w:tab w:val="num" w:pos="5760"/>
        </w:tabs>
        <w:ind w:left="5760" w:hanging="360"/>
      </w:pPr>
      <w:rPr>
        <w:rFonts w:ascii="Arial" w:hAnsi="Arial" w:hint="default"/>
      </w:rPr>
    </w:lvl>
    <w:lvl w:ilvl="8" w:tplc="8670E9A4" w:tentative="1">
      <w:start w:val="1"/>
      <w:numFmt w:val="bullet"/>
      <w:lvlText w:val="▪"/>
      <w:lvlJc w:val="left"/>
      <w:pPr>
        <w:tabs>
          <w:tab w:val="num" w:pos="6480"/>
        </w:tabs>
        <w:ind w:left="6480" w:hanging="360"/>
      </w:pPr>
      <w:rPr>
        <w:rFonts w:ascii="Arial" w:hAnsi="Arial" w:hint="default"/>
      </w:rPr>
    </w:lvl>
  </w:abstractNum>
  <w:abstractNum w:abstractNumId="4">
    <w:nsid w:val="0CF01847"/>
    <w:multiLevelType w:val="hybridMultilevel"/>
    <w:tmpl w:val="342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30DBC"/>
    <w:multiLevelType w:val="hybridMultilevel"/>
    <w:tmpl w:val="32AC63EA"/>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2D7CE1"/>
    <w:multiLevelType w:val="hybridMultilevel"/>
    <w:tmpl w:val="2178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3A48BE"/>
    <w:multiLevelType w:val="hybridMultilevel"/>
    <w:tmpl w:val="2E8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B418E"/>
    <w:multiLevelType w:val="hybridMultilevel"/>
    <w:tmpl w:val="5E8A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C1386"/>
    <w:multiLevelType w:val="hybridMultilevel"/>
    <w:tmpl w:val="66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140BB"/>
    <w:multiLevelType w:val="hybridMultilevel"/>
    <w:tmpl w:val="1E6C7B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2102BE"/>
    <w:multiLevelType w:val="hybridMultilevel"/>
    <w:tmpl w:val="E16805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AF776EA"/>
    <w:multiLevelType w:val="hybridMultilevel"/>
    <w:tmpl w:val="8D9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6707D"/>
    <w:multiLevelType w:val="hybridMultilevel"/>
    <w:tmpl w:val="60AE6AC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73036F"/>
    <w:multiLevelType w:val="hybridMultilevel"/>
    <w:tmpl w:val="CE8EB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E43121"/>
    <w:multiLevelType w:val="hybridMultilevel"/>
    <w:tmpl w:val="80A471C6"/>
    <w:lvl w:ilvl="0" w:tplc="4E9E75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916CA1"/>
    <w:multiLevelType w:val="hybridMultilevel"/>
    <w:tmpl w:val="7506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F193F"/>
    <w:multiLevelType w:val="hybridMultilevel"/>
    <w:tmpl w:val="6BBA3DA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A40359"/>
    <w:multiLevelType w:val="hybridMultilevel"/>
    <w:tmpl w:val="26D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7A7082"/>
    <w:multiLevelType w:val="hybridMultilevel"/>
    <w:tmpl w:val="F240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D6254"/>
    <w:multiLevelType w:val="hybridMultilevel"/>
    <w:tmpl w:val="DADCB45E"/>
    <w:lvl w:ilvl="0" w:tplc="040C0005">
      <w:start w:val="1"/>
      <w:numFmt w:val="bullet"/>
      <w:lvlText w:val=""/>
      <w:lvlJc w:val="left"/>
      <w:pPr>
        <w:tabs>
          <w:tab w:val="num" w:pos="492"/>
        </w:tabs>
        <w:ind w:left="492" w:hanging="360"/>
      </w:pPr>
      <w:rPr>
        <w:rFonts w:ascii="Wingdings" w:hAnsi="Wingdings" w:hint="default"/>
      </w:rPr>
    </w:lvl>
    <w:lvl w:ilvl="1" w:tplc="2E40C654">
      <w:start w:val="1"/>
      <w:numFmt w:val="bullet"/>
      <w:lvlText w:val="-"/>
      <w:lvlJc w:val="left"/>
      <w:pPr>
        <w:tabs>
          <w:tab w:val="num" w:pos="1212"/>
        </w:tabs>
        <w:ind w:left="1212" w:hanging="360"/>
      </w:pPr>
      <w:rPr>
        <w:rFonts w:hint="default"/>
      </w:rPr>
    </w:lvl>
    <w:lvl w:ilvl="2" w:tplc="040C0005" w:tentative="1">
      <w:start w:val="1"/>
      <w:numFmt w:val="bullet"/>
      <w:lvlText w:val=""/>
      <w:lvlJc w:val="left"/>
      <w:pPr>
        <w:tabs>
          <w:tab w:val="num" w:pos="1932"/>
        </w:tabs>
        <w:ind w:left="1932" w:hanging="360"/>
      </w:pPr>
      <w:rPr>
        <w:rFonts w:ascii="Wingdings" w:hAnsi="Wingdings" w:hint="default"/>
      </w:rPr>
    </w:lvl>
    <w:lvl w:ilvl="3" w:tplc="040C0001" w:tentative="1">
      <w:start w:val="1"/>
      <w:numFmt w:val="bullet"/>
      <w:lvlText w:val=""/>
      <w:lvlJc w:val="left"/>
      <w:pPr>
        <w:tabs>
          <w:tab w:val="num" w:pos="2652"/>
        </w:tabs>
        <w:ind w:left="2652" w:hanging="360"/>
      </w:pPr>
      <w:rPr>
        <w:rFonts w:ascii="Symbol" w:hAnsi="Symbol" w:hint="default"/>
      </w:rPr>
    </w:lvl>
    <w:lvl w:ilvl="4" w:tplc="040C0003" w:tentative="1">
      <w:start w:val="1"/>
      <w:numFmt w:val="bullet"/>
      <w:lvlText w:val="o"/>
      <w:lvlJc w:val="left"/>
      <w:pPr>
        <w:tabs>
          <w:tab w:val="num" w:pos="3372"/>
        </w:tabs>
        <w:ind w:left="3372" w:hanging="360"/>
      </w:pPr>
      <w:rPr>
        <w:rFonts w:ascii="Courier New" w:hAnsi="Courier New" w:hint="default"/>
      </w:rPr>
    </w:lvl>
    <w:lvl w:ilvl="5" w:tplc="040C0005" w:tentative="1">
      <w:start w:val="1"/>
      <w:numFmt w:val="bullet"/>
      <w:lvlText w:val=""/>
      <w:lvlJc w:val="left"/>
      <w:pPr>
        <w:tabs>
          <w:tab w:val="num" w:pos="4092"/>
        </w:tabs>
        <w:ind w:left="4092" w:hanging="360"/>
      </w:pPr>
      <w:rPr>
        <w:rFonts w:ascii="Wingdings" w:hAnsi="Wingdings" w:hint="default"/>
      </w:rPr>
    </w:lvl>
    <w:lvl w:ilvl="6" w:tplc="040C0001" w:tentative="1">
      <w:start w:val="1"/>
      <w:numFmt w:val="bullet"/>
      <w:lvlText w:val=""/>
      <w:lvlJc w:val="left"/>
      <w:pPr>
        <w:tabs>
          <w:tab w:val="num" w:pos="4812"/>
        </w:tabs>
        <w:ind w:left="4812" w:hanging="360"/>
      </w:pPr>
      <w:rPr>
        <w:rFonts w:ascii="Symbol" w:hAnsi="Symbol" w:hint="default"/>
      </w:rPr>
    </w:lvl>
    <w:lvl w:ilvl="7" w:tplc="040C0003" w:tentative="1">
      <w:start w:val="1"/>
      <w:numFmt w:val="bullet"/>
      <w:lvlText w:val="o"/>
      <w:lvlJc w:val="left"/>
      <w:pPr>
        <w:tabs>
          <w:tab w:val="num" w:pos="5532"/>
        </w:tabs>
        <w:ind w:left="5532" w:hanging="360"/>
      </w:pPr>
      <w:rPr>
        <w:rFonts w:ascii="Courier New" w:hAnsi="Courier New" w:hint="default"/>
      </w:rPr>
    </w:lvl>
    <w:lvl w:ilvl="8" w:tplc="040C0005" w:tentative="1">
      <w:start w:val="1"/>
      <w:numFmt w:val="bullet"/>
      <w:lvlText w:val=""/>
      <w:lvlJc w:val="left"/>
      <w:pPr>
        <w:tabs>
          <w:tab w:val="num" w:pos="6252"/>
        </w:tabs>
        <w:ind w:left="6252" w:hanging="360"/>
      </w:pPr>
      <w:rPr>
        <w:rFonts w:ascii="Wingdings" w:hAnsi="Wingdings" w:hint="default"/>
      </w:rPr>
    </w:lvl>
  </w:abstractNum>
  <w:abstractNum w:abstractNumId="21">
    <w:nsid w:val="503F372E"/>
    <w:multiLevelType w:val="hybridMultilevel"/>
    <w:tmpl w:val="9EC0DAF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2FF353B"/>
    <w:multiLevelType w:val="hybridMultilevel"/>
    <w:tmpl w:val="995A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F92328"/>
    <w:multiLevelType w:val="hybridMultilevel"/>
    <w:tmpl w:val="F88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592266"/>
    <w:multiLevelType w:val="hybridMultilevel"/>
    <w:tmpl w:val="5608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CE335C"/>
    <w:multiLevelType w:val="hybridMultilevel"/>
    <w:tmpl w:val="34E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E4FB9"/>
    <w:multiLevelType w:val="hybridMultilevel"/>
    <w:tmpl w:val="5D3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7C2C0B"/>
    <w:multiLevelType w:val="hybridMultilevel"/>
    <w:tmpl w:val="C07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D63690"/>
    <w:multiLevelType w:val="hybridMultilevel"/>
    <w:tmpl w:val="D6F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ED2B64"/>
    <w:multiLevelType w:val="hybridMultilevel"/>
    <w:tmpl w:val="BF3C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0265F"/>
    <w:multiLevelType w:val="hybridMultilevel"/>
    <w:tmpl w:val="62502F4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A86DED"/>
    <w:multiLevelType w:val="hybridMultilevel"/>
    <w:tmpl w:val="E0D4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A7C80"/>
    <w:multiLevelType w:val="hybridMultilevel"/>
    <w:tmpl w:val="1CF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4C0289"/>
    <w:multiLevelType w:val="hybridMultilevel"/>
    <w:tmpl w:val="043A7BEE"/>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9753FD"/>
    <w:multiLevelType w:val="hybridMultilevel"/>
    <w:tmpl w:val="C90C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4"/>
  </w:num>
  <w:num w:numId="4">
    <w:abstractNumId w:val="3"/>
  </w:num>
  <w:num w:numId="5">
    <w:abstractNumId w:val="22"/>
  </w:num>
  <w:num w:numId="6">
    <w:abstractNumId w:val="32"/>
  </w:num>
  <w:num w:numId="7">
    <w:abstractNumId w:val="7"/>
  </w:num>
  <w:num w:numId="8">
    <w:abstractNumId w:val="12"/>
  </w:num>
  <w:num w:numId="9">
    <w:abstractNumId w:val="8"/>
  </w:num>
  <w:num w:numId="10">
    <w:abstractNumId w:val="15"/>
  </w:num>
  <w:num w:numId="11">
    <w:abstractNumId w:val="20"/>
  </w:num>
  <w:num w:numId="12">
    <w:abstractNumId w:val="12"/>
  </w:num>
  <w:num w:numId="13">
    <w:abstractNumId w:val="21"/>
  </w:num>
  <w:num w:numId="14">
    <w:abstractNumId w:val="30"/>
  </w:num>
  <w:num w:numId="15">
    <w:abstractNumId w:val="17"/>
  </w:num>
  <w:num w:numId="16">
    <w:abstractNumId w:val="33"/>
  </w:num>
  <w:num w:numId="17">
    <w:abstractNumId w:val="18"/>
  </w:num>
  <w:num w:numId="18">
    <w:abstractNumId w:val="34"/>
  </w:num>
  <w:num w:numId="19">
    <w:abstractNumId w:val="13"/>
  </w:num>
  <w:num w:numId="20">
    <w:abstractNumId w:val="5"/>
  </w:num>
  <w:num w:numId="21">
    <w:abstractNumId w:val="9"/>
  </w:num>
  <w:num w:numId="22">
    <w:abstractNumId w:val="16"/>
  </w:num>
  <w:num w:numId="23">
    <w:abstractNumId w:val="31"/>
  </w:num>
  <w:num w:numId="24">
    <w:abstractNumId w:val="26"/>
  </w:num>
  <w:num w:numId="25">
    <w:abstractNumId w:val="29"/>
  </w:num>
  <w:num w:numId="26">
    <w:abstractNumId w:val="2"/>
  </w:num>
  <w:num w:numId="27">
    <w:abstractNumId w:val="25"/>
  </w:num>
  <w:num w:numId="28">
    <w:abstractNumId w:val="24"/>
  </w:num>
  <w:num w:numId="29">
    <w:abstractNumId w:val="1"/>
  </w:num>
  <w:num w:numId="30">
    <w:abstractNumId w:val="19"/>
  </w:num>
  <w:num w:numId="31">
    <w:abstractNumId w:val="23"/>
  </w:num>
  <w:num w:numId="32">
    <w:abstractNumId w:val="11"/>
  </w:num>
  <w:num w:numId="33">
    <w:abstractNumId w:val="28"/>
  </w:num>
  <w:num w:numId="34">
    <w:abstractNumId w:val="10"/>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F7"/>
    <w:rsid w:val="000016E1"/>
    <w:rsid w:val="000044AD"/>
    <w:rsid w:val="0000585C"/>
    <w:rsid w:val="000112B3"/>
    <w:rsid w:val="00011724"/>
    <w:rsid w:val="00011D6A"/>
    <w:rsid w:val="00014B04"/>
    <w:rsid w:val="0001525E"/>
    <w:rsid w:val="000159FC"/>
    <w:rsid w:val="00022849"/>
    <w:rsid w:val="00026252"/>
    <w:rsid w:val="00027941"/>
    <w:rsid w:val="0003401D"/>
    <w:rsid w:val="00034C35"/>
    <w:rsid w:val="00037846"/>
    <w:rsid w:val="000404B1"/>
    <w:rsid w:val="00043EC5"/>
    <w:rsid w:val="00046236"/>
    <w:rsid w:val="000516AB"/>
    <w:rsid w:val="00055251"/>
    <w:rsid w:val="00055A04"/>
    <w:rsid w:val="00056011"/>
    <w:rsid w:val="000563FE"/>
    <w:rsid w:val="000568FB"/>
    <w:rsid w:val="00060CF2"/>
    <w:rsid w:val="00061635"/>
    <w:rsid w:val="00061F28"/>
    <w:rsid w:val="00070C53"/>
    <w:rsid w:val="0007330D"/>
    <w:rsid w:val="00082A9C"/>
    <w:rsid w:val="000839F8"/>
    <w:rsid w:val="000907F1"/>
    <w:rsid w:val="000930FB"/>
    <w:rsid w:val="00093A49"/>
    <w:rsid w:val="0009530B"/>
    <w:rsid w:val="00095F3E"/>
    <w:rsid w:val="000A000B"/>
    <w:rsid w:val="000A3B1B"/>
    <w:rsid w:val="000A49AE"/>
    <w:rsid w:val="000A7622"/>
    <w:rsid w:val="000B331A"/>
    <w:rsid w:val="000B4A20"/>
    <w:rsid w:val="000C2725"/>
    <w:rsid w:val="000C2739"/>
    <w:rsid w:val="000D22DA"/>
    <w:rsid w:val="000D2903"/>
    <w:rsid w:val="000D4515"/>
    <w:rsid w:val="000D5F77"/>
    <w:rsid w:val="000D6C8F"/>
    <w:rsid w:val="000D7147"/>
    <w:rsid w:val="000E00C1"/>
    <w:rsid w:val="000E5783"/>
    <w:rsid w:val="000E62B1"/>
    <w:rsid w:val="000E6C53"/>
    <w:rsid w:val="000E7F4E"/>
    <w:rsid w:val="001062CF"/>
    <w:rsid w:val="0010737C"/>
    <w:rsid w:val="0011195C"/>
    <w:rsid w:val="00112F93"/>
    <w:rsid w:val="00122657"/>
    <w:rsid w:val="00122786"/>
    <w:rsid w:val="00122F2C"/>
    <w:rsid w:val="001264BC"/>
    <w:rsid w:val="00126BE5"/>
    <w:rsid w:val="00126D1D"/>
    <w:rsid w:val="00130CC4"/>
    <w:rsid w:val="00132840"/>
    <w:rsid w:val="00133386"/>
    <w:rsid w:val="00136624"/>
    <w:rsid w:val="00151470"/>
    <w:rsid w:val="00151FEA"/>
    <w:rsid w:val="00152FE9"/>
    <w:rsid w:val="0015449E"/>
    <w:rsid w:val="00156482"/>
    <w:rsid w:val="00156831"/>
    <w:rsid w:val="001622A8"/>
    <w:rsid w:val="001642C6"/>
    <w:rsid w:val="0016483C"/>
    <w:rsid w:val="001661E3"/>
    <w:rsid w:val="00172A3B"/>
    <w:rsid w:val="001843A0"/>
    <w:rsid w:val="00184453"/>
    <w:rsid w:val="0018515D"/>
    <w:rsid w:val="001862BB"/>
    <w:rsid w:val="001A006F"/>
    <w:rsid w:val="001A0167"/>
    <w:rsid w:val="001A0CA9"/>
    <w:rsid w:val="001A15BC"/>
    <w:rsid w:val="001A2016"/>
    <w:rsid w:val="001A2CDA"/>
    <w:rsid w:val="001A6F0F"/>
    <w:rsid w:val="001B00CB"/>
    <w:rsid w:val="001B3B2F"/>
    <w:rsid w:val="001B6174"/>
    <w:rsid w:val="001B6C60"/>
    <w:rsid w:val="001B7C9D"/>
    <w:rsid w:val="001C4627"/>
    <w:rsid w:val="001C5340"/>
    <w:rsid w:val="001C5A91"/>
    <w:rsid w:val="001D3C0B"/>
    <w:rsid w:val="001E5B10"/>
    <w:rsid w:val="001F5FFF"/>
    <w:rsid w:val="001F7113"/>
    <w:rsid w:val="00207B43"/>
    <w:rsid w:val="002171E5"/>
    <w:rsid w:val="00217D28"/>
    <w:rsid w:val="00221560"/>
    <w:rsid w:val="00227A86"/>
    <w:rsid w:val="00245D43"/>
    <w:rsid w:val="00247E04"/>
    <w:rsid w:val="00247E2F"/>
    <w:rsid w:val="00252412"/>
    <w:rsid w:val="00252B5C"/>
    <w:rsid w:val="0025550A"/>
    <w:rsid w:val="00264624"/>
    <w:rsid w:val="002661F2"/>
    <w:rsid w:val="00267993"/>
    <w:rsid w:val="00271AA5"/>
    <w:rsid w:val="00281AFB"/>
    <w:rsid w:val="00287613"/>
    <w:rsid w:val="002A0760"/>
    <w:rsid w:val="002A6455"/>
    <w:rsid w:val="002A7CA3"/>
    <w:rsid w:val="002B27C4"/>
    <w:rsid w:val="002B3360"/>
    <w:rsid w:val="002B599D"/>
    <w:rsid w:val="002C0D66"/>
    <w:rsid w:val="002C3DFC"/>
    <w:rsid w:val="002C5991"/>
    <w:rsid w:val="002D740E"/>
    <w:rsid w:val="002D7E23"/>
    <w:rsid w:val="002E2706"/>
    <w:rsid w:val="002E71AB"/>
    <w:rsid w:val="002F46D5"/>
    <w:rsid w:val="00304089"/>
    <w:rsid w:val="0030436D"/>
    <w:rsid w:val="0031318B"/>
    <w:rsid w:val="00331296"/>
    <w:rsid w:val="003359AA"/>
    <w:rsid w:val="00335B20"/>
    <w:rsid w:val="00337C7B"/>
    <w:rsid w:val="00341B8D"/>
    <w:rsid w:val="003439D3"/>
    <w:rsid w:val="003455BD"/>
    <w:rsid w:val="00345658"/>
    <w:rsid w:val="0034623D"/>
    <w:rsid w:val="003469E7"/>
    <w:rsid w:val="00347F12"/>
    <w:rsid w:val="00350E4A"/>
    <w:rsid w:val="0035721A"/>
    <w:rsid w:val="00367616"/>
    <w:rsid w:val="0037183B"/>
    <w:rsid w:val="003775B8"/>
    <w:rsid w:val="0038060D"/>
    <w:rsid w:val="00385FC7"/>
    <w:rsid w:val="00387EBB"/>
    <w:rsid w:val="00393F94"/>
    <w:rsid w:val="0039600C"/>
    <w:rsid w:val="003A0E68"/>
    <w:rsid w:val="003A29A5"/>
    <w:rsid w:val="003A696C"/>
    <w:rsid w:val="003B2938"/>
    <w:rsid w:val="003B39E5"/>
    <w:rsid w:val="003B54F6"/>
    <w:rsid w:val="003B6E94"/>
    <w:rsid w:val="003C4E21"/>
    <w:rsid w:val="003D2FDE"/>
    <w:rsid w:val="003D6547"/>
    <w:rsid w:val="003D70F3"/>
    <w:rsid w:val="003E0383"/>
    <w:rsid w:val="003E3EFD"/>
    <w:rsid w:val="003E761C"/>
    <w:rsid w:val="003F3DE7"/>
    <w:rsid w:val="003F6004"/>
    <w:rsid w:val="00400C21"/>
    <w:rsid w:val="0040152B"/>
    <w:rsid w:val="0041111C"/>
    <w:rsid w:val="004146D2"/>
    <w:rsid w:val="0042115D"/>
    <w:rsid w:val="00424B52"/>
    <w:rsid w:val="00432D0E"/>
    <w:rsid w:val="004352D4"/>
    <w:rsid w:val="00445A71"/>
    <w:rsid w:val="00446C5A"/>
    <w:rsid w:val="0044792F"/>
    <w:rsid w:val="00455AD6"/>
    <w:rsid w:val="004561DB"/>
    <w:rsid w:val="00457EAA"/>
    <w:rsid w:val="0046094B"/>
    <w:rsid w:val="00463B63"/>
    <w:rsid w:val="00466144"/>
    <w:rsid w:val="0047014C"/>
    <w:rsid w:val="00480F44"/>
    <w:rsid w:val="00485F7D"/>
    <w:rsid w:val="0048757B"/>
    <w:rsid w:val="0049164B"/>
    <w:rsid w:val="00492070"/>
    <w:rsid w:val="004950B0"/>
    <w:rsid w:val="004A0667"/>
    <w:rsid w:val="004A0A9F"/>
    <w:rsid w:val="004A0CF0"/>
    <w:rsid w:val="004A0EF6"/>
    <w:rsid w:val="004A2EA9"/>
    <w:rsid w:val="004A4AB9"/>
    <w:rsid w:val="004B2A90"/>
    <w:rsid w:val="004B2FF1"/>
    <w:rsid w:val="004B54AC"/>
    <w:rsid w:val="004C1BE5"/>
    <w:rsid w:val="004C2E40"/>
    <w:rsid w:val="004C7A5A"/>
    <w:rsid w:val="004C7B97"/>
    <w:rsid w:val="004D1CA4"/>
    <w:rsid w:val="004D2649"/>
    <w:rsid w:val="004D43E6"/>
    <w:rsid w:val="004D7D4D"/>
    <w:rsid w:val="004E0866"/>
    <w:rsid w:val="004E7BB4"/>
    <w:rsid w:val="004F1DB0"/>
    <w:rsid w:val="004F4743"/>
    <w:rsid w:val="00501F5C"/>
    <w:rsid w:val="00503B62"/>
    <w:rsid w:val="00506650"/>
    <w:rsid w:val="00510EF1"/>
    <w:rsid w:val="00530517"/>
    <w:rsid w:val="005312A8"/>
    <w:rsid w:val="0053146F"/>
    <w:rsid w:val="00551951"/>
    <w:rsid w:val="0055199F"/>
    <w:rsid w:val="00555184"/>
    <w:rsid w:val="00556251"/>
    <w:rsid w:val="00556B21"/>
    <w:rsid w:val="00561FBB"/>
    <w:rsid w:val="00562A7F"/>
    <w:rsid w:val="00562C40"/>
    <w:rsid w:val="00565122"/>
    <w:rsid w:val="005721D7"/>
    <w:rsid w:val="00574031"/>
    <w:rsid w:val="005746B5"/>
    <w:rsid w:val="00574A8B"/>
    <w:rsid w:val="00574C9F"/>
    <w:rsid w:val="005767E8"/>
    <w:rsid w:val="00584063"/>
    <w:rsid w:val="00586B23"/>
    <w:rsid w:val="005871A4"/>
    <w:rsid w:val="00587B45"/>
    <w:rsid w:val="0059342D"/>
    <w:rsid w:val="005961F6"/>
    <w:rsid w:val="00596271"/>
    <w:rsid w:val="005A1D63"/>
    <w:rsid w:val="005A37E6"/>
    <w:rsid w:val="005A3A72"/>
    <w:rsid w:val="005A77BD"/>
    <w:rsid w:val="005B0613"/>
    <w:rsid w:val="005B1ACF"/>
    <w:rsid w:val="005B3C1C"/>
    <w:rsid w:val="005B4316"/>
    <w:rsid w:val="005B4E6E"/>
    <w:rsid w:val="005C3A1A"/>
    <w:rsid w:val="005C447D"/>
    <w:rsid w:val="005C5ECF"/>
    <w:rsid w:val="005D07FC"/>
    <w:rsid w:val="005D10AE"/>
    <w:rsid w:val="005D14A5"/>
    <w:rsid w:val="005D1DB2"/>
    <w:rsid w:val="005D6A75"/>
    <w:rsid w:val="005E192C"/>
    <w:rsid w:val="005E2948"/>
    <w:rsid w:val="005E6397"/>
    <w:rsid w:val="006036DA"/>
    <w:rsid w:val="00604912"/>
    <w:rsid w:val="00605A55"/>
    <w:rsid w:val="006064B6"/>
    <w:rsid w:val="00610F4B"/>
    <w:rsid w:val="00614B0D"/>
    <w:rsid w:val="006150B9"/>
    <w:rsid w:val="00616E2F"/>
    <w:rsid w:val="006279C6"/>
    <w:rsid w:val="0063087A"/>
    <w:rsid w:val="00631DA6"/>
    <w:rsid w:val="006346C3"/>
    <w:rsid w:val="00636A47"/>
    <w:rsid w:val="00640E00"/>
    <w:rsid w:val="00644E8C"/>
    <w:rsid w:val="00652726"/>
    <w:rsid w:val="006544CE"/>
    <w:rsid w:val="0065535B"/>
    <w:rsid w:val="0065536D"/>
    <w:rsid w:val="0066051A"/>
    <w:rsid w:val="0066060D"/>
    <w:rsid w:val="006611A2"/>
    <w:rsid w:val="00674F3D"/>
    <w:rsid w:val="006768CA"/>
    <w:rsid w:val="00680D29"/>
    <w:rsid w:val="006834FA"/>
    <w:rsid w:val="0068727F"/>
    <w:rsid w:val="00692C8F"/>
    <w:rsid w:val="0069306B"/>
    <w:rsid w:val="00695F75"/>
    <w:rsid w:val="00696DDF"/>
    <w:rsid w:val="00697E05"/>
    <w:rsid w:val="006A1335"/>
    <w:rsid w:val="006A1E1A"/>
    <w:rsid w:val="006A5DB9"/>
    <w:rsid w:val="006A67B5"/>
    <w:rsid w:val="006B41C4"/>
    <w:rsid w:val="006B6139"/>
    <w:rsid w:val="006B648A"/>
    <w:rsid w:val="006C0A52"/>
    <w:rsid w:val="006C0BAB"/>
    <w:rsid w:val="006C1DB4"/>
    <w:rsid w:val="006C2B51"/>
    <w:rsid w:val="006C359F"/>
    <w:rsid w:val="006C38ED"/>
    <w:rsid w:val="006C6B49"/>
    <w:rsid w:val="006C72B8"/>
    <w:rsid w:val="006C7BEB"/>
    <w:rsid w:val="006D05FF"/>
    <w:rsid w:val="006D0DF9"/>
    <w:rsid w:val="006D1736"/>
    <w:rsid w:val="006D271C"/>
    <w:rsid w:val="006D3FF5"/>
    <w:rsid w:val="006D42D1"/>
    <w:rsid w:val="006E27DC"/>
    <w:rsid w:val="006E3CC7"/>
    <w:rsid w:val="006E6399"/>
    <w:rsid w:val="006E7B42"/>
    <w:rsid w:val="006E7C60"/>
    <w:rsid w:val="006F0172"/>
    <w:rsid w:val="006F274B"/>
    <w:rsid w:val="006F36E8"/>
    <w:rsid w:val="006F4B91"/>
    <w:rsid w:val="006F56C3"/>
    <w:rsid w:val="006F5940"/>
    <w:rsid w:val="006F66F3"/>
    <w:rsid w:val="006F6F05"/>
    <w:rsid w:val="00703609"/>
    <w:rsid w:val="00705615"/>
    <w:rsid w:val="00705CC4"/>
    <w:rsid w:val="00712C7B"/>
    <w:rsid w:val="00716108"/>
    <w:rsid w:val="007165F1"/>
    <w:rsid w:val="007216D8"/>
    <w:rsid w:val="00722035"/>
    <w:rsid w:val="00724958"/>
    <w:rsid w:val="00725280"/>
    <w:rsid w:val="0072602F"/>
    <w:rsid w:val="00734239"/>
    <w:rsid w:val="007349B0"/>
    <w:rsid w:val="00736025"/>
    <w:rsid w:val="00745199"/>
    <w:rsid w:val="00752ABB"/>
    <w:rsid w:val="00753D29"/>
    <w:rsid w:val="00757077"/>
    <w:rsid w:val="007637B8"/>
    <w:rsid w:val="007644B2"/>
    <w:rsid w:val="0076459C"/>
    <w:rsid w:val="00765860"/>
    <w:rsid w:val="00765D4E"/>
    <w:rsid w:val="0077199E"/>
    <w:rsid w:val="0077327D"/>
    <w:rsid w:val="00774D00"/>
    <w:rsid w:val="00783870"/>
    <w:rsid w:val="00784650"/>
    <w:rsid w:val="0078752E"/>
    <w:rsid w:val="0079083D"/>
    <w:rsid w:val="00791E76"/>
    <w:rsid w:val="00793D32"/>
    <w:rsid w:val="0079416E"/>
    <w:rsid w:val="007A123F"/>
    <w:rsid w:val="007A192E"/>
    <w:rsid w:val="007A1AB7"/>
    <w:rsid w:val="007A5076"/>
    <w:rsid w:val="007B2056"/>
    <w:rsid w:val="007B5404"/>
    <w:rsid w:val="007B6922"/>
    <w:rsid w:val="007B6BEA"/>
    <w:rsid w:val="007B71A1"/>
    <w:rsid w:val="007C0C7F"/>
    <w:rsid w:val="007C36CF"/>
    <w:rsid w:val="007D2021"/>
    <w:rsid w:val="007D4C01"/>
    <w:rsid w:val="007D7CF5"/>
    <w:rsid w:val="007E095F"/>
    <w:rsid w:val="007E14EB"/>
    <w:rsid w:val="007E6B23"/>
    <w:rsid w:val="007F032A"/>
    <w:rsid w:val="007F0888"/>
    <w:rsid w:val="00800EC9"/>
    <w:rsid w:val="00805637"/>
    <w:rsid w:val="00806518"/>
    <w:rsid w:val="008065C2"/>
    <w:rsid w:val="00806CE3"/>
    <w:rsid w:val="00807A43"/>
    <w:rsid w:val="00811727"/>
    <w:rsid w:val="00811BBC"/>
    <w:rsid w:val="00812D6F"/>
    <w:rsid w:val="00815BAD"/>
    <w:rsid w:val="00821CAC"/>
    <w:rsid w:val="00823687"/>
    <w:rsid w:val="00824AD9"/>
    <w:rsid w:val="0082693A"/>
    <w:rsid w:val="00827E2D"/>
    <w:rsid w:val="008306AD"/>
    <w:rsid w:val="00832339"/>
    <w:rsid w:val="008355EC"/>
    <w:rsid w:val="00835DF8"/>
    <w:rsid w:val="008365C1"/>
    <w:rsid w:val="00841E7E"/>
    <w:rsid w:val="008450B2"/>
    <w:rsid w:val="00845B7A"/>
    <w:rsid w:val="0084679A"/>
    <w:rsid w:val="0084719E"/>
    <w:rsid w:val="00851D27"/>
    <w:rsid w:val="00853C04"/>
    <w:rsid w:val="00857577"/>
    <w:rsid w:val="00866EBC"/>
    <w:rsid w:val="008745A1"/>
    <w:rsid w:val="00876FFF"/>
    <w:rsid w:val="00877CA6"/>
    <w:rsid w:val="00877E26"/>
    <w:rsid w:val="0088040D"/>
    <w:rsid w:val="0088231E"/>
    <w:rsid w:val="00882320"/>
    <w:rsid w:val="00887D20"/>
    <w:rsid w:val="00891EBE"/>
    <w:rsid w:val="0089272B"/>
    <w:rsid w:val="00893367"/>
    <w:rsid w:val="00895CD6"/>
    <w:rsid w:val="008A0881"/>
    <w:rsid w:val="008A333D"/>
    <w:rsid w:val="008A6D18"/>
    <w:rsid w:val="008B2807"/>
    <w:rsid w:val="008B45F8"/>
    <w:rsid w:val="008B518C"/>
    <w:rsid w:val="008C002D"/>
    <w:rsid w:val="008C011B"/>
    <w:rsid w:val="008D2DDB"/>
    <w:rsid w:val="008D54AD"/>
    <w:rsid w:val="008E0B5C"/>
    <w:rsid w:val="008E0C7D"/>
    <w:rsid w:val="008E1C17"/>
    <w:rsid w:val="008E1C3C"/>
    <w:rsid w:val="008E52BD"/>
    <w:rsid w:val="008E53AE"/>
    <w:rsid w:val="008F365B"/>
    <w:rsid w:val="00913AC6"/>
    <w:rsid w:val="009177F2"/>
    <w:rsid w:val="00917FEA"/>
    <w:rsid w:val="00921BEC"/>
    <w:rsid w:val="00924DC1"/>
    <w:rsid w:val="00925973"/>
    <w:rsid w:val="0093175D"/>
    <w:rsid w:val="009331F3"/>
    <w:rsid w:val="009407A0"/>
    <w:rsid w:val="009419D0"/>
    <w:rsid w:val="00942330"/>
    <w:rsid w:val="00943CC6"/>
    <w:rsid w:val="00944D15"/>
    <w:rsid w:val="0094528E"/>
    <w:rsid w:val="00950D4C"/>
    <w:rsid w:val="009524DF"/>
    <w:rsid w:val="009528FC"/>
    <w:rsid w:val="00952E89"/>
    <w:rsid w:val="00954678"/>
    <w:rsid w:val="00955474"/>
    <w:rsid w:val="0095724E"/>
    <w:rsid w:val="00966E1B"/>
    <w:rsid w:val="00970514"/>
    <w:rsid w:val="009735F3"/>
    <w:rsid w:val="009764F0"/>
    <w:rsid w:val="00982D86"/>
    <w:rsid w:val="009835AB"/>
    <w:rsid w:val="0098448C"/>
    <w:rsid w:val="00984C08"/>
    <w:rsid w:val="00990B9A"/>
    <w:rsid w:val="00990C5B"/>
    <w:rsid w:val="0099392D"/>
    <w:rsid w:val="00996ECF"/>
    <w:rsid w:val="00997941"/>
    <w:rsid w:val="009A3A6C"/>
    <w:rsid w:val="009C04AC"/>
    <w:rsid w:val="009C2533"/>
    <w:rsid w:val="009C63CB"/>
    <w:rsid w:val="009C73FF"/>
    <w:rsid w:val="009D1499"/>
    <w:rsid w:val="009D197A"/>
    <w:rsid w:val="009D1E67"/>
    <w:rsid w:val="009D246F"/>
    <w:rsid w:val="009D2D10"/>
    <w:rsid w:val="009F3F2D"/>
    <w:rsid w:val="00A009F3"/>
    <w:rsid w:val="00A0130D"/>
    <w:rsid w:val="00A0146E"/>
    <w:rsid w:val="00A030F4"/>
    <w:rsid w:val="00A132D4"/>
    <w:rsid w:val="00A26DBE"/>
    <w:rsid w:val="00A27518"/>
    <w:rsid w:val="00A32554"/>
    <w:rsid w:val="00A41CA4"/>
    <w:rsid w:val="00A43A9B"/>
    <w:rsid w:val="00A5407E"/>
    <w:rsid w:val="00A55E94"/>
    <w:rsid w:val="00A6412F"/>
    <w:rsid w:val="00A6547F"/>
    <w:rsid w:val="00A668AF"/>
    <w:rsid w:val="00A7015F"/>
    <w:rsid w:val="00A74D9F"/>
    <w:rsid w:val="00A76411"/>
    <w:rsid w:val="00A82553"/>
    <w:rsid w:val="00A86580"/>
    <w:rsid w:val="00A87132"/>
    <w:rsid w:val="00A91093"/>
    <w:rsid w:val="00A93B79"/>
    <w:rsid w:val="00A93EC7"/>
    <w:rsid w:val="00AA0E8D"/>
    <w:rsid w:val="00AA2B25"/>
    <w:rsid w:val="00AA30A5"/>
    <w:rsid w:val="00AA36E6"/>
    <w:rsid w:val="00AB1282"/>
    <w:rsid w:val="00AC7754"/>
    <w:rsid w:val="00AD3ACE"/>
    <w:rsid w:val="00AD5321"/>
    <w:rsid w:val="00AD7CE7"/>
    <w:rsid w:val="00AE6EEE"/>
    <w:rsid w:val="00AE79DB"/>
    <w:rsid w:val="00AF0CDD"/>
    <w:rsid w:val="00AF1C3F"/>
    <w:rsid w:val="00AF35EF"/>
    <w:rsid w:val="00AF455B"/>
    <w:rsid w:val="00AF5890"/>
    <w:rsid w:val="00B00294"/>
    <w:rsid w:val="00B0147B"/>
    <w:rsid w:val="00B03947"/>
    <w:rsid w:val="00B102A1"/>
    <w:rsid w:val="00B127C7"/>
    <w:rsid w:val="00B13A59"/>
    <w:rsid w:val="00B17147"/>
    <w:rsid w:val="00B20B55"/>
    <w:rsid w:val="00B21F19"/>
    <w:rsid w:val="00B25624"/>
    <w:rsid w:val="00B30382"/>
    <w:rsid w:val="00B32CC3"/>
    <w:rsid w:val="00B32DCC"/>
    <w:rsid w:val="00B368EF"/>
    <w:rsid w:val="00B41401"/>
    <w:rsid w:val="00B47A45"/>
    <w:rsid w:val="00B51A1B"/>
    <w:rsid w:val="00B5391A"/>
    <w:rsid w:val="00B56615"/>
    <w:rsid w:val="00B57E51"/>
    <w:rsid w:val="00B60AB8"/>
    <w:rsid w:val="00B617D6"/>
    <w:rsid w:val="00B63662"/>
    <w:rsid w:val="00B7193D"/>
    <w:rsid w:val="00B74B02"/>
    <w:rsid w:val="00B76FB6"/>
    <w:rsid w:val="00B778FD"/>
    <w:rsid w:val="00B77C42"/>
    <w:rsid w:val="00B80ED2"/>
    <w:rsid w:val="00B8139F"/>
    <w:rsid w:val="00B917A0"/>
    <w:rsid w:val="00B92B43"/>
    <w:rsid w:val="00BA283E"/>
    <w:rsid w:val="00BB1A71"/>
    <w:rsid w:val="00BB3031"/>
    <w:rsid w:val="00BC19F6"/>
    <w:rsid w:val="00BC4CF5"/>
    <w:rsid w:val="00BD0A2B"/>
    <w:rsid w:val="00BD123A"/>
    <w:rsid w:val="00BD1ECB"/>
    <w:rsid w:val="00BD4600"/>
    <w:rsid w:val="00BE1960"/>
    <w:rsid w:val="00BE2C06"/>
    <w:rsid w:val="00BE305E"/>
    <w:rsid w:val="00BE39A5"/>
    <w:rsid w:val="00BE464F"/>
    <w:rsid w:val="00BE4CF6"/>
    <w:rsid w:val="00BF3E90"/>
    <w:rsid w:val="00BF5336"/>
    <w:rsid w:val="00C04D6C"/>
    <w:rsid w:val="00C05D42"/>
    <w:rsid w:val="00C1108F"/>
    <w:rsid w:val="00C12DDD"/>
    <w:rsid w:val="00C145F3"/>
    <w:rsid w:val="00C20453"/>
    <w:rsid w:val="00C21DFC"/>
    <w:rsid w:val="00C27095"/>
    <w:rsid w:val="00C328BE"/>
    <w:rsid w:val="00C3318E"/>
    <w:rsid w:val="00C34BCE"/>
    <w:rsid w:val="00C37D7D"/>
    <w:rsid w:val="00C46098"/>
    <w:rsid w:val="00C53137"/>
    <w:rsid w:val="00C6142A"/>
    <w:rsid w:val="00C64124"/>
    <w:rsid w:val="00C65AC0"/>
    <w:rsid w:val="00C6624E"/>
    <w:rsid w:val="00C6686E"/>
    <w:rsid w:val="00C67CC6"/>
    <w:rsid w:val="00C701C2"/>
    <w:rsid w:val="00C706A0"/>
    <w:rsid w:val="00C77948"/>
    <w:rsid w:val="00C80054"/>
    <w:rsid w:val="00C8676E"/>
    <w:rsid w:val="00C90ECF"/>
    <w:rsid w:val="00C928A5"/>
    <w:rsid w:val="00C93195"/>
    <w:rsid w:val="00C944E2"/>
    <w:rsid w:val="00C95C72"/>
    <w:rsid w:val="00CA1F13"/>
    <w:rsid w:val="00CA43AC"/>
    <w:rsid w:val="00CA454B"/>
    <w:rsid w:val="00CB22A2"/>
    <w:rsid w:val="00CB4410"/>
    <w:rsid w:val="00CB48F3"/>
    <w:rsid w:val="00CB68F5"/>
    <w:rsid w:val="00CC1AB8"/>
    <w:rsid w:val="00CC3530"/>
    <w:rsid w:val="00CC4B18"/>
    <w:rsid w:val="00CC5C84"/>
    <w:rsid w:val="00CC6297"/>
    <w:rsid w:val="00CC7E7A"/>
    <w:rsid w:val="00CD304C"/>
    <w:rsid w:val="00CE0230"/>
    <w:rsid w:val="00CE0331"/>
    <w:rsid w:val="00CE143B"/>
    <w:rsid w:val="00CE298E"/>
    <w:rsid w:val="00CE36AA"/>
    <w:rsid w:val="00CE4DB3"/>
    <w:rsid w:val="00CF5169"/>
    <w:rsid w:val="00CF79EE"/>
    <w:rsid w:val="00D006B3"/>
    <w:rsid w:val="00D11D2E"/>
    <w:rsid w:val="00D123BD"/>
    <w:rsid w:val="00D1252A"/>
    <w:rsid w:val="00D15600"/>
    <w:rsid w:val="00D233BA"/>
    <w:rsid w:val="00D33981"/>
    <w:rsid w:val="00D34725"/>
    <w:rsid w:val="00D3599E"/>
    <w:rsid w:val="00D372A1"/>
    <w:rsid w:val="00D37711"/>
    <w:rsid w:val="00D538CC"/>
    <w:rsid w:val="00D53E74"/>
    <w:rsid w:val="00D545C4"/>
    <w:rsid w:val="00D56B44"/>
    <w:rsid w:val="00D7051C"/>
    <w:rsid w:val="00D7457D"/>
    <w:rsid w:val="00D74E41"/>
    <w:rsid w:val="00D81B7E"/>
    <w:rsid w:val="00D81FD1"/>
    <w:rsid w:val="00D82EDC"/>
    <w:rsid w:val="00D9194B"/>
    <w:rsid w:val="00D933BC"/>
    <w:rsid w:val="00D9508C"/>
    <w:rsid w:val="00DA027D"/>
    <w:rsid w:val="00DA289F"/>
    <w:rsid w:val="00DA32AE"/>
    <w:rsid w:val="00DA555D"/>
    <w:rsid w:val="00DA7135"/>
    <w:rsid w:val="00DB0358"/>
    <w:rsid w:val="00DB224C"/>
    <w:rsid w:val="00DB2D89"/>
    <w:rsid w:val="00DB4A52"/>
    <w:rsid w:val="00DB5F8B"/>
    <w:rsid w:val="00DB795A"/>
    <w:rsid w:val="00DC34CF"/>
    <w:rsid w:val="00DC3DF3"/>
    <w:rsid w:val="00DD3155"/>
    <w:rsid w:val="00DD745B"/>
    <w:rsid w:val="00DD7D90"/>
    <w:rsid w:val="00DE3411"/>
    <w:rsid w:val="00DE54E0"/>
    <w:rsid w:val="00DE7413"/>
    <w:rsid w:val="00DF1355"/>
    <w:rsid w:val="00DF2E33"/>
    <w:rsid w:val="00DF60D2"/>
    <w:rsid w:val="00E00E52"/>
    <w:rsid w:val="00E03289"/>
    <w:rsid w:val="00E0513A"/>
    <w:rsid w:val="00E0567D"/>
    <w:rsid w:val="00E0760F"/>
    <w:rsid w:val="00E0788C"/>
    <w:rsid w:val="00E116CC"/>
    <w:rsid w:val="00E12C45"/>
    <w:rsid w:val="00E13104"/>
    <w:rsid w:val="00E15296"/>
    <w:rsid w:val="00E30B78"/>
    <w:rsid w:val="00E3207D"/>
    <w:rsid w:val="00E3265D"/>
    <w:rsid w:val="00E32ECD"/>
    <w:rsid w:val="00E345A1"/>
    <w:rsid w:val="00E3791B"/>
    <w:rsid w:val="00E412D7"/>
    <w:rsid w:val="00E45760"/>
    <w:rsid w:val="00E46DCD"/>
    <w:rsid w:val="00E50868"/>
    <w:rsid w:val="00E50C0E"/>
    <w:rsid w:val="00E51F8F"/>
    <w:rsid w:val="00E520A1"/>
    <w:rsid w:val="00E52E14"/>
    <w:rsid w:val="00E52E96"/>
    <w:rsid w:val="00E565AC"/>
    <w:rsid w:val="00E71BEC"/>
    <w:rsid w:val="00E7562E"/>
    <w:rsid w:val="00E76A90"/>
    <w:rsid w:val="00E777DC"/>
    <w:rsid w:val="00E824B0"/>
    <w:rsid w:val="00E827DD"/>
    <w:rsid w:val="00E83B56"/>
    <w:rsid w:val="00E852BD"/>
    <w:rsid w:val="00E86150"/>
    <w:rsid w:val="00E86889"/>
    <w:rsid w:val="00E876FA"/>
    <w:rsid w:val="00E916E6"/>
    <w:rsid w:val="00E91CD3"/>
    <w:rsid w:val="00E9460C"/>
    <w:rsid w:val="00EA26BB"/>
    <w:rsid w:val="00EA3A84"/>
    <w:rsid w:val="00EA4E18"/>
    <w:rsid w:val="00EB0C9F"/>
    <w:rsid w:val="00EC24EF"/>
    <w:rsid w:val="00EC77D3"/>
    <w:rsid w:val="00ED2527"/>
    <w:rsid w:val="00ED3741"/>
    <w:rsid w:val="00ED53AB"/>
    <w:rsid w:val="00ED600A"/>
    <w:rsid w:val="00EE0D03"/>
    <w:rsid w:val="00EE3FF7"/>
    <w:rsid w:val="00EE7EBF"/>
    <w:rsid w:val="00EF0AB8"/>
    <w:rsid w:val="00F007E2"/>
    <w:rsid w:val="00F00E3E"/>
    <w:rsid w:val="00F03FAB"/>
    <w:rsid w:val="00F05665"/>
    <w:rsid w:val="00F07E05"/>
    <w:rsid w:val="00F1077A"/>
    <w:rsid w:val="00F11F09"/>
    <w:rsid w:val="00F16DD2"/>
    <w:rsid w:val="00F23302"/>
    <w:rsid w:val="00F23CA8"/>
    <w:rsid w:val="00F25229"/>
    <w:rsid w:val="00F3385C"/>
    <w:rsid w:val="00F37ABE"/>
    <w:rsid w:val="00F40910"/>
    <w:rsid w:val="00F43C98"/>
    <w:rsid w:val="00F44180"/>
    <w:rsid w:val="00F47CA0"/>
    <w:rsid w:val="00F47EED"/>
    <w:rsid w:val="00F47F5E"/>
    <w:rsid w:val="00F505A1"/>
    <w:rsid w:val="00F53AF5"/>
    <w:rsid w:val="00F540E2"/>
    <w:rsid w:val="00F541A5"/>
    <w:rsid w:val="00F56D48"/>
    <w:rsid w:val="00F6214C"/>
    <w:rsid w:val="00F64C43"/>
    <w:rsid w:val="00F65832"/>
    <w:rsid w:val="00F67709"/>
    <w:rsid w:val="00F67819"/>
    <w:rsid w:val="00F73D1B"/>
    <w:rsid w:val="00F7730F"/>
    <w:rsid w:val="00F8173A"/>
    <w:rsid w:val="00F81D55"/>
    <w:rsid w:val="00F82D26"/>
    <w:rsid w:val="00F83A1B"/>
    <w:rsid w:val="00F83E97"/>
    <w:rsid w:val="00F84024"/>
    <w:rsid w:val="00F867EA"/>
    <w:rsid w:val="00F9026E"/>
    <w:rsid w:val="00F924E5"/>
    <w:rsid w:val="00F9332E"/>
    <w:rsid w:val="00F93A1E"/>
    <w:rsid w:val="00FA1846"/>
    <w:rsid w:val="00FA1CD5"/>
    <w:rsid w:val="00FA2FEF"/>
    <w:rsid w:val="00FA5154"/>
    <w:rsid w:val="00FA680B"/>
    <w:rsid w:val="00FA6932"/>
    <w:rsid w:val="00FB364A"/>
    <w:rsid w:val="00FC5993"/>
    <w:rsid w:val="00FD02BE"/>
    <w:rsid w:val="00FD0769"/>
    <w:rsid w:val="00FD091C"/>
    <w:rsid w:val="00FE24ED"/>
    <w:rsid w:val="00FE6C7F"/>
    <w:rsid w:val="00FF22A0"/>
    <w:rsid w:val="00FF452A"/>
    <w:rsid w:val="0B37F52F"/>
    <w:rsid w:val="3E0C9D40"/>
    <w:rsid w:val="4912560C"/>
    <w:rsid w:val="70D8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7AE"/>
  <w15:chartTrackingRefBased/>
  <w15:docId w15:val="{5190535A-3146-4D2D-A42F-DF5F81E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23"/>
  </w:style>
  <w:style w:type="paragraph" w:styleId="Heading1">
    <w:name w:val="heading 1"/>
    <w:basedOn w:val="Normal"/>
    <w:next w:val="Normal"/>
    <w:link w:val="Heading1Char"/>
    <w:uiPriority w:val="9"/>
    <w:qFormat/>
    <w:rsid w:val="004B5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46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DD745B"/>
    <w:pPr>
      <w:keepNext/>
      <w:widowControl w:val="0"/>
      <w:tabs>
        <w:tab w:val="left" w:pos="0"/>
        <w:tab w:val="left" w:pos="1051"/>
        <w:tab w:val="left" w:pos="2016"/>
        <w:tab w:val="left" w:pos="10800"/>
      </w:tabs>
      <w:suppressAutoHyphens/>
      <w:spacing w:after="0" w:line="240" w:lineRule="auto"/>
      <w:jc w:val="both"/>
      <w:outlineLvl w:val="5"/>
    </w:pPr>
    <w:rPr>
      <w:rFonts w:ascii="Times New Roman" w:eastAsia="Times New Roman" w:hAnsi="Times New Roman" w:cs="Times New Roman"/>
      <w:b/>
      <w:snapToGrid w:val="0"/>
      <w:color w:val="0000FF"/>
      <w:spacing w:val="-3"/>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7B"/>
    <w:rPr>
      <w:rFonts w:ascii="Segoe UI" w:hAnsi="Segoe UI" w:cs="Segoe UI"/>
      <w:sz w:val="18"/>
      <w:szCs w:val="18"/>
    </w:rPr>
  </w:style>
  <w:style w:type="character" w:styleId="CommentReference">
    <w:name w:val="annotation reference"/>
    <w:basedOn w:val="DefaultParagraphFont"/>
    <w:uiPriority w:val="99"/>
    <w:semiHidden/>
    <w:unhideWhenUsed/>
    <w:rsid w:val="00E916E6"/>
    <w:rPr>
      <w:sz w:val="16"/>
      <w:szCs w:val="16"/>
    </w:rPr>
  </w:style>
  <w:style w:type="paragraph" w:styleId="CommentText">
    <w:name w:val="annotation text"/>
    <w:basedOn w:val="Normal"/>
    <w:link w:val="CommentTextChar"/>
    <w:uiPriority w:val="99"/>
    <w:unhideWhenUsed/>
    <w:rsid w:val="00E916E6"/>
    <w:pPr>
      <w:spacing w:line="240" w:lineRule="auto"/>
    </w:pPr>
    <w:rPr>
      <w:sz w:val="20"/>
      <w:szCs w:val="20"/>
    </w:rPr>
  </w:style>
  <w:style w:type="character" w:customStyle="1" w:styleId="CommentTextChar">
    <w:name w:val="Comment Text Char"/>
    <w:basedOn w:val="DefaultParagraphFont"/>
    <w:link w:val="CommentText"/>
    <w:uiPriority w:val="99"/>
    <w:rsid w:val="00E916E6"/>
    <w:rPr>
      <w:sz w:val="20"/>
      <w:szCs w:val="20"/>
    </w:rPr>
  </w:style>
  <w:style w:type="paragraph" w:styleId="CommentSubject">
    <w:name w:val="annotation subject"/>
    <w:basedOn w:val="CommentText"/>
    <w:next w:val="CommentText"/>
    <w:link w:val="CommentSubjectChar"/>
    <w:uiPriority w:val="99"/>
    <w:semiHidden/>
    <w:unhideWhenUsed/>
    <w:rsid w:val="00E916E6"/>
    <w:rPr>
      <w:b/>
      <w:bCs/>
    </w:rPr>
  </w:style>
  <w:style w:type="character" w:customStyle="1" w:styleId="CommentSubjectChar">
    <w:name w:val="Comment Subject Char"/>
    <w:basedOn w:val="CommentTextChar"/>
    <w:link w:val="CommentSubject"/>
    <w:uiPriority w:val="99"/>
    <w:semiHidden/>
    <w:rsid w:val="00E916E6"/>
    <w:rPr>
      <w:b/>
      <w:bCs/>
      <w:sz w:val="20"/>
      <w:szCs w:val="20"/>
    </w:rPr>
  </w:style>
  <w:style w:type="character" w:customStyle="1" w:styleId="Heading6Char">
    <w:name w:val="Heading 6 Char"/>
    <w:basedOn w:val="DefaultParagraphFont"/>
    <w:link w:val="Heading6"/>
    <w:rsid w:val="00DD745B"/>
    <w:rPr>
      <w:rFonts w:ascii="Times New Roman" w:eastAsia="Times New Roman" w:hAnsi="Times New Roman" w:cs="Times New Roman"/>
      <w:b/>
      <w:snapToGrid w:val="0"/>
      <w:color w:val="0000FF"/>
      <w:spacing w:val="-3"/>
      <w:sz w:val="28"/>
      <w:szCs w:val="20"/>
      <w:lang w:val="en-US" w:eastAsia="fr-FR"/>
    </w:rPr>
  </w:style>
  <w:style w:type="paragraph" w:styleId="ListParagraph">
    <w:name w:val="List Paragraph"/>
    <w:basedOn w:val="Normal"/>
    <w:uiPriority w:val="34"/>
    <w:qFormat/>
    <w:rsid w:val="00DD745B"/>
    <w:pPr>
      <w:widowControl w:val="0"/>
      <w:spacing w:after="0" w:line="240" w:lineRule="auto"/>
      <w:ind w:left="720"/>
      <w:contextualSpacing/>
    </w:pPr>
    <w:rPr>
      <w:rFonts w:ascii="Courier New" w:eastAsia="Times New Roman" w:hAnsi="Courier New" w:cs="Times New Roman"/>
      <w:snapToGrid w:val="0"/>
      <w:sz w:val="24"/>
      <w:szCs w:val="20"/>
      <w:lang w:eastAsia="fr-FR"/>
    </w:rPr>
  </w:style>
  <w:style w:type="character" w:customStyle="1" w:styleId="Heading2Char">
    <w:name w:val="Heading 2 Char"/>
    <w:basedOn w:val="DefaultParagraphFont"/>
    <w:link w:val="Heading2"/>
    <w:uiPriority w:val="9"/>
    <w:rsid w:val="00FF22A0"/>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semiHidden/>
    <w:rsid w:val="00FF22A0"/>
    <w:pPr>
      <w:widowControl w:val="0"/>
      <w:spacing w:after="0" w:line="240" w:lineRule="auto"/>
      <w:jc w:val="center"/>
    </w:pPr>
    <w:rPr>
      <w:rFonts w:ascii="Times New Roman" w:eastAsia="Times New Roman" w:hAnsi="Times New Roman" w:cs="Times New Roman"/>
      <w:b/>
      <w:snapToGrid w:val="0"/>
      <w:color w:val="0000FF"/>
      <w:sz w:val="24"/>
      <w:szCs w:val="20"/>
      <w:lang w:val="en-US" w:eastAsia="fr-FR"/>
    </w:rPr>
  </w:style>
  <w:style w:type="character" w:customStyle="1" w:styleId="BodyText3Char">
    <w:name w:val="Body Text 3 Char"/>
    <w:basedOn w:val="DefaultParagraphFont"/>
    <w:link w:val="BodyText3"/>
    <w:semiHidden/>
    <w:rsid w:val="00FF22A0"/>
    <w:rPr>
      <w:rFonts w:ascii="Times New Roman" w:eastAsia="Times New Roman" w:hAnsi="Times New Roman" w:cs="Times New Roman"/>
      <w:b/>
      <w:snapToGrid w:val="0"/>
      <w:color w:val="0000FF"/>
      <w:sz w:val="24"/>
      <w:szCs w:val="20"/>
      <w:lang w:val="en-US" w:eastAsia="fr-FR"/>
    </w:rPr>
  </w:style>
  <w:style w:type="character" w:customStyle="1" w:styleId="Heading1Char">
    <w:name w:val="Heading 1 Char"/>
    <w:basedOn w:val="DefaultParagraphFont"/>
    <w:link w:val="Heading1"/>
    <w:uiPriority w:val="9"/>
    <w:rsid w:val="004B54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46D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semiHidden/>
    <w:unhideWhenUsed/>
    <w:qFormat/>
    <w:rsid w:val="00E50C0E"/>
    <w:pPr>
      <w:widowControl w:val="0"/>
      <w:snapToGrid w:val="0"/>
      <w:spacing w:after="0" w:line="240" w:lineRule="auto"/>
    </w:pPr>
    <w:rPr>
      <w:rFonts w:ascii="Courier New" w:eastAsia="Times New Roman" w:hAnsi="Courier New" w:cs="Times New Roman"/>
      <w:sz w:val="24"/>
      <w:szCs w:val="20"/>
      <w:lang w:eastAsia="fr-FR"/>
    </w:rPr>
  </w:style>
  <w:style w:type="paragraph" w:styleId="Revision">
    <w:name w:val="Revision"/>
    <w:hidden/>
    <w:uiPriority w:val="99"/>
    <w:semiHidden/>
    <w:rsid w:val="008E0B5C"/>
    <w:pPr>
      <w:spacing w:after="0" w:line="240" w:lineRule="auto"/>
    </w:pPr>
  </w:style>
  <w:style w:type="character" w:styleId="PlaceholderText">
    <w:name w:val="Placeholder Text"/>
    <w:basedOn w:val="DefaultParagraphFont"/>
    <w:uiPriority w:val="99"/>
    <w:semiHidden/>
    <w:rsid w:val="002B3360"/>
    <w:rPr>
      <w:color w:val="808080"/>
    </w:rPr>
  </w:style>
  <w:style w:type="paragraph" w:styleId="Header">
    <w:name w:val="header"/>
    <w:basedOn w:val="Normal"/>
    <w:link w:val="HeaderChar"/>
    <w:uiPriority w:val="99"/>
    <w:unhideWhenUsed/>
    <w:rsid w:val="00A5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94"/>
  </w:style>
  <w:style w:type="paragraph" w:styleId="Footer">
    <w:name w:val="footer"/>
    <w:basedOn w:val="Normal"/>
    <w:link w:val="FooterChar"/>
    <w:uiPriority w:val="99"/>
    <w:unhideWhenUsed/>
    <w:rsid w:val="00A5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94"/>
  </w:style>
  <w:style w:type="character" w:styleId="Hyperlink">
    <w:name w:val="Hyperlink"/>
    <w:basedOn w:val="DefaultParagraphFont"/>
    <w:uiPriority w:val="99"/>
    <w:unhideWhenUsed/>
    <w:rsid w:val="004E0866"/>
    <w:rPr>
      <w:color w:val="0563C1" w:themeColor="hyperlink"/>
      <w:u w:val="single"/>
    </w:rPr>
  </w:style>
  <w:style w:type="character" w:customStyle="1" w:styleId="UnresolvedMention">
    <w:name w:val="Unresolved Mention"/>
    <w:basedOn w:val="DefaultParagraphFont"/>
    <w:uiPriority w:val="99"/>
    <w:semiHidden/>
    <w:unhideWhenUsed/>
    <w:rsid w:val="004E0866"/>
    <w:rPr>
      <w:color w:val="605E5C"/>
      <w:shd w:val="clear" w:color="auto" w:fill="E1DFDD"/>
    </w:rPr>
  </w:style>
  <w:style w:type="paragraph" w:styleId="FootnoteText">
    <w:name w:val="footnote text"/>
    <w:basedOn w:val="Normal"/>
    <w:link w:val="FootnoteTextChar"/>
    <w:uiPriority w:val="99"/>
    <w:semiHidden/>
    <w:unhideWhenUsed/>
    <w:rsid w:val="0076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D4E"/>
    <w:rPr>
      <w:sz w:val="20"/>
      <w:szCs w:val="20"/>
    </w:rPr>
  </w:style>
  <w:style w:type="character" w:styleId="FootnoteReference">
    <w:name w:val="footnote reference"/>
    <w:basedOn w:val="DefaultParagraphFont"/>
    <w:uiPriority w:val="99"/>
    <w:semiHidden/>
    <w:unhideWhenUsed/>
    <w:rsid w:val="00765D4E"/>
    <w:rPr>
      <w:vertAlign w:val="superscript"/>
    </w:rPr>
  </w:style>
  <w:style w:type="paragraph" w:customStyle="1" w:styleId="Default">
    <w:name w:val="Default"/>
    <w:rsid w:val="000E6C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023">
      <w:bodyDiv w:val="1"/>
      <w:marLeft w:val="0"/>
      <w:marRight w:val="0"/>
      <w:marTop w:val="0"/>
      <w:marBottom w:val="0"/>
      <w:divBdr>
        <w:top w:val="none" w:sz="0" w:space="0" w:color="auto"/>
        <w:left w:val="none" w:sz="0" w:space="0" w:color="auto"/>
        <w:bottom w:val="none" w:sz="0" w:space="0" w:color="auto"/>
        <w:right w:val="none" w:sz="0" w:space="0" w:color="auto"/>
      </w:divBdr>
      <w:divsChild>
        <w:div w:id="467675486">
          <w:marLeft w:val="360"/>
          <w:marRight w:val="0"/>
          <w:marTop w:val="360"/>
          <w:marBottom w:val="120"/>
          <w:divBdr>
            <w:top w:val="none" w:sz="0" w:space="0" w:color="auto"/>
            <w:left w:val="none" w:sz="0" w:space="0" w:color="auto"/>
            <w:bottom w:val="none" w:sz="0" w:space="0" w:color="auto"/>
            <w:right w:val="none" w:sz="0" w:space="0" w:color="auto"/>
          </w:divBdr>
        </w:div>
      </w:divsChild>
    </w:div>
    <w:div w:id="143474325">
      <w:bodyDiv w:val="1"/>
      <w:marLeft w:val="0"/>
      <w:marRight w:val="0"/>
      <w:marTop w:val="0"/>
      <w:marBottom w:val="0"/>
      <w:divBdr>
        <w:top w:val="none" w:sz="0" w:space="0" w:color="auto"/>
        <w:left w:val="none" w:sz="0" w:space="0" w:color="auto"/>
        <w:bottom w:val="none" w:sz="0" w:space="0" w:color="auto"/>
        <w:right w:val="none" w:sz="0" w:space="0" w:color="auto"/>
      </w:divBdr>
    </w:div>
    <w:div w:id="156308923">
      <w:bodyDiv w:val="1"/>
      <w:marLeft w:val="0"/>
      <w:marRight w:val="0"/>
      <w:marTop w:val="0"/>
      <w:marBottom w:val="0"/>
      <w:divBdr>
        <w:top w:val="none" w:sz="0" w:space="0" w:color="auto"/>
        <w:left w:val="none" w:sz="0" w:space="0" w:color="auto"/>
        <w:bottom w:val="none" w:sz="0" w:space="0" w:color="auto"/>
        <w:right w:val="none" w:sz="0" w:space="0" w:color="auto"/>
      </w:divBdr>
    </w:div>
    <w:div w:id="215707150">
      <w:bodyDiv w:val="1"/>
      <w:marLeft w:val="0"/>
      <w:marRight w:val="0"/>
      <w:marTop w:val="0"/>
      <w:marBottom w:val="0"/>
      <w:divBdr>
        <w:top w:val="none" w:sz="0" w:space="0" w:color="auto"/>
        <w:left w:val="none" w:sz="0" w:space="0" w:color="auto"/>
        <w:bottom w:val="none" w:sz="0" w:space="0" w:color="auto"/>
        <w:right w:val="none" w:sz="0" w:space="0" w:color="auto"/>
      </w:divBdr>
    </w:div>
    <w:div w:id="374887314">
      <w:bodyDiv w:val="1"/>
      <w:marLeft w:val="0"/>
      <w:marRight w:val="0"/>
      <w:marTop w:val="0"/>
      <w:marBottom w:val="0"/>
      <w:divBdr>
        <w:top w:val="none" w:sz="0" w:space="0" w:color="auto"/>
        <w:left w:val="none" w:sz="0" w:space="0" w:color="auto"/>
        <w:bottom w:val="none" w:sz="0" w:space="0" w:color="auto"/>
        <w:right w:val="none" w:sz="0" w:space="0" w:color="auto"/>
      </w:divBdr>
      <w:divsChild>
        <w:div w:id="1113674201">
          <w:marLeft w:val="360"/>
          <w:marRight w:val="0"/>
          <w:marTop w:val="360"/>
          <w:marBottom w:val="120"/>
          <w:divBdr>
            <w:top w:val="none" w:sz="0" w:space="0" w:color="auto"/>
            <w:left w:val="none" w:sz="0" w:space="0" w:color="auto"/>
            <w:bottom w:val="none" w:sz="0" w:space="0" w:color="auto"/>
            <w:right w:val="none" w:sz="0" w:space="0" w:color="auto"/>
          </w:divBdr>
        </w:div>
      </w:divsChild>
    </w:div>
    <w:div w:id="378557293">
      <w:bodyDiv w:val="1"/>
      <w:marLeft w:val="0"/>
      <w:marRight w:val="0"/>
      <w:marTop w:val="0"/>
      <w:marBottom w:val="0"/>
      <w:divBdr>
        <w:top w:val="none" w:sz="0" w:space="0" w:color="auto"/>
        <w:left w:val="none" w:sz="0" w:space="0" w:color="auto"/>
        <w:bottom w:val="none" w:sz="0" w:space="0" w:color="auto"/>
        <w:right w:val="none" w:sz="0" w:space="0" w:color="auto"/>
      </w:divBdr>
    </w:div>
    <w:div w:id="412355299">
      <w:bodyDiv w:val="1"/>
      <w:marLeft w:val="0"/>
      <w:marRight w:val="0"/>
      <w:marTop w:val="0"/>
      <w:marBottom w:val="0"/>
      <w:divBdr>
        <w:top w:val="none" w:sz="0" w:space="0" w:color="auto"/>
        <w:left w:val="none" w:sz="0" w:space="0" w:color="auto"/>
        <w:bottom w:val="none" w:sz="0" w:space="0" w:color="auto"/>
        <w:right w:val="none" w:sz="0" w:space="0" w:color="auto"/>
      </w:divBdr>
    </w:div>
    <w:div w:id="428740331">
      <w:bodyDiv w:val="1"/>
      <w:marLeft w:val="0"/>
      <w:marRight w:val="0"/>
      <w:marTop w:val="0"/>
      <w:marBottom w:val="0"/>
      <w:divBdr>
        <w:top w:val="none" w:sz="0" w:space="0" w:color="auto"/>
        <w:left w:val="none" w:sz="0" w:space="0" w:color="auto"/>
        <w:bottom w:val="none" w:sz="0" w:space="0" w:color="auto"/>
        <w:right w:val="none" w:sz="0" w:space="0" w:color="auto"/>
      </w:divBdr>
    </w:div>
    <w:div w:id="444544430">
      <w:bodyDiv w:val="1"/>
      <w:marLeft w:val="0"/>
      <w:marRight w:val="0"/>
      <w:marTop w:val="0"/>
      <w:marBottom w:val="0"/>
      <w:divBdr>
        <w:top w:val="none" w:sz="0" w:space="0" w:color="auto"/>
        <w:left w:val="none" w:sz="0" w:space="0" w:color="auto"/>
        <w:bottom w:val="none" w:sz="0" w:space="0" w:color="auto"/>
        <w:right w:val="none" w:sz="0" w:space="0" w:color="auto"/>
      </w:divBdr>
    </w:div>
    <w:div w:id="454911316">
      <w:bodyDiv w:val="1"/>
      <w:marLeft w:val="0"/>
      <w:marRight w:val="0"/>
      <w:marTop w:val="0"/>
      <w:marBottom w:val="0"/>
      <w:divBdr>
        <w:top w:val="none" w:sz="0" w:space="0" w:color="auto"/>
        <w:left w:val="none" w:sz="0" w:space="0" w:color="auto"/>
        <w:bottom w:val="none" w:sz="0" w:space="0" w:color="auto"/>
        <w:right w:val="none" w:sz="0" w:space="0" w:color="auto"/>
      </w:divBdr>
    </w:div>
    <w:div w:id="518198046">
      <w:bodyDiv w:val="1"/>
      <w:marLeft w:val="0"/>
      <w:marRight w:val="0"/>
      <w:marTop w:val="0"/>
      <w:marBottom w:val="0"/>
      <w:divBdr>
        <w:top w:val="none" w:sz="0" w:space="0" w:color="auto"/>
        <w:left w:val="none" w:sz="0" w:space="0" w:color="auto"/>
        <w:bottom w:val="none" w:sz="0" w:space="0" w:color="auto"/>
        <w:right w:val="none" w:sz="0" w:space="0" w:color="auto"/>
      </w:divBdr>
    </w:div>
    <w:div w:id="632827980">
      <w:bodyDiv w:val="1"/>
      <w:marLeft w:val="0"/>
      <w:marRight w:val="0"/>
      <w:marTop w:val="0"/>
      <w:marBottom w:val="0"/>
      <w:divBdr>
        <w:top w:val="none" w:sz="0" w:space="0" w:color="auto"/>
        <w:left w:val="none" w:sz="0" w:space="0" w:color="auto"/>
        <w:bottom w:val="none" w:sz="0" w:space="0" w:color="auto"/>
        <w:right w:val="none" w:sz="0" w:space="0" w:color="auto"/>
      </w:divBdr>
    </w:div>
    <w:div w:id="843125261">
      <w:bodyDiv w:val="1"/>
      <w:marLeft w:val="0"/>
      <w:marRight w:val="0"/>
      <w:marTop w:val="0"/>
      <w:marBottom w:val="0"/>
      <w:divBdr>
        <w:top w:val="none" w:sz="0" w:space="0" w:color="auto"/>
        <w:left w:val="none" w:sz="0" w:space="0" w:color="auto"/>
        <w:bottom w:val="none" w:sz="0" w:space="0" w:color="auto"/>
        <w:right w:val="none" w:sz="0" w:space="0" w:color="auto"/>
      </w:divBdr>
    </w:div>
    <w:div w:id="1122965572">
      <w:bodyDiv w:val="1"/>
      <w:marLeft w:val="0"/>
      <w:marRight w:val="0"/>
      <w:marTop w:val="0"/>
      <w:marBottom w:val="0"/>
      <w:divBdr>
        <w:top w:val="none" w:sz="0" w:space="0" w:color="auto"/>
        <w:left w:val="none" w:sz="0" w:space="0" w:color="auto"/>
        <w:bottom w:val="none" w:sz="0" w:space="0" w:color="auto"/>
        <w:right w:val="none" w:sz="0" w:space="0" w:color="auto"/>
      </w:divBdr>
    </w:div>
    <w:div w:id="1164392698">
      <w:bodyDiv w:val="1"/>
      <w:marLeft w:val="0"/>
      <w:marRight w:val="0"/>
      <w:marTop w:val="0"/>
      <w:marBottom w:val="0"/>
      <w:divBdr>
        <w:top w:val="none" w:sz="0" w:space="0" w:color="auto"/>
        <w:left w:val="none" w:sz="0" w:space="0" w:color="auto"/>
        <w:bottom w:val="none" w:sz="0" w:space="0" w:color="auto"/>
        <w:right w:val="none" w:sz="0" w:space="0" w:color="auto"/>
      </w:divBdr>
    </w:div>
    <w:div w:id="1229341687">
      <w:bodyDiv w:val="1"/>
      <w:marLeft w:val="0"/>
      <w:marRight w:val="0"/>
      <w:marTop w:val="0"/>
      <w:marBottom w:val="0"/>
      <w:divBdr>
        <w:top w:val="none" w:sz="0" w:space="0" w:color="auto"/>
        <w:left w:val="none" w:sz="0" w:space="0" w:color="auto"/>
        <w:bottom w:val="none" w:sz="0" w:space="0" w:color="auto"/>
        <w:right w:val="none" w:sz="0" w:space="0" w:color="auto"/>
      </w:divBdr>
    </w:div>
    <w:div w:id="1351759834">
      <w:bodyDiv w:val="1"/>
      <w:marLeft w:val="0"/>
      <w:marRight w:val="0"/>
      <w:marTop w:val="0"/>
      <w:marBottom w:val="0"/>
      <w:divBdr>
        <w:top w:val="none" w:sz="0" w:space="0" w:color="auto"/>
        <w:left w:val="none" w:sz="0" w:space="0" w:color="auto"/>
        <w:bottom w:val="none" w:sz="0" w:space="0" w:color="auto"/>
        <w:right w:val="none" w:sz="0" w:space="0" w:color="auto"/>
      </w:divBdr>
    </w:div>
    <w:div w:id="1353532745">
      <w:bodyDiv w:val="1"/>
      <w:marLeft w:val="0"/>
      <w:marRight w:val="0"/>
      <w:marTop w:val="0"/>
      <w:marBottom w:val="0"/>
      <w:divBdr>
        <w:top w:val="none" w:sz="0" w:space="0" w:color="auto"/>
        <w:left w:val="none" w:sz="0" w:space="0" w:color="auto"/>
        <w:bottom w:val="none" w:sz="0" w:space="0" w:color="auto"/>
        <w:right w:val="none" w:sz="0" w:space="0" w:color="auto"/>
      </w:divBdr>
    </w:div>
    <w:div w:id="1400245789">
      <w:bodyDiv w:val="1"/>
      <w:marLeft w:val="0"/>
      <w:marRight w:val="0"/>
      <w:marTop w:val="0"/>
      <w:marBottom w:val="0"/>
      <w:divBdr>
        <w:top w:val="none" w:sz="0" w:space="0" w:color="auto"/>
        <w:left w:val="none" w:sz="0" w:space="0" w:color="auto"/>
        <w:bottom w:val="none" w:sz="0" w:space="0" w:color="auto"/>
        <w:right w:val="none" w:sz="0" w:space="0" w:color="auto"/>
      </w:divBdr>
    </w:div>
    <w:div w:id="1451624447">
      <w:bodyDiv w:val="1"/>
      <w:marLeft w:val="0"/>
      <w:marRight w:val="0"/>
      <w:marTop w:val="0"/>
      <w:marBottom w:val="0"/>
      <w:divBdr>
        <w:top w:val="none" w:sz="0" w:space="0" w:color="auto"/>
        <w:left w:val="none" w:sz="0" w:space="0" w:color="auto"/>
        <w:bottom w:val="none" w:sz="0" w:space="0" w:color="auto"/>
        <w:right w:val="none" w:sz="0" w:space="0" w:color="auto"/>
      </w:divBdr>
    </w:div>
    <w:div w:id="1517033727">
      <w:bodyDiv w:val="1"/>
      <w:marLeft w:val="0"/>
      <w:marRight w:val="0"/>
      <w:marTop w:val="0"/>
      <w:marBottom w:val="0"/>
      <w:divBdr>
        <w:top w:val="none" w:sz="0" w:space="0" w:color="auto"/>
        <w:left w:val="none" w:sz="0" w:space="0" w:color="auto"/>
        <w:bottom w:val="none" w:sz="0" w:space="0" w:color="auto"/>
        <w:right w:val="none" w:sz="0" w:space="0" w:color="auto"/>
      </w:divBdr>
    </w:div>
    <w:div w:id="1563835010">
      <w:bodyDiv w:val="1"/>
      <w:marLeft w:val="0"/>
      <w:marRight w:val="0"/>
      <w:marTop w:val="0"/>
      <w:marBottom w:val="0"/>
      <w:divBdr>
        <w:top w:val="none" w:sz="0" w:space="0" w:color="auto"/>
        <w:left w:val="none" w:sz="0" w:space="0" w:color="auto"/>
        <w:bottom w:val="none" w:sz="0" w:space="0" w:color="auto"/>
        <w:right w:val="none" w:sz="0" w:space="0" w:color="auto"/>
      </w:divBdr>
    </w:div>
    <w:div w:id="1607734917">
      <w:bodyDiv w:val="1"/>
      <w:marLeft w:val="0"/>
      <w:marRight w:val="0"/>
      <w:marTop w:val="0"/>
      <w:marBottom w:val="0"/>
      <w:divBdr>
        <w:top w:val="none" w:sz="0" w:space="0" w:color="auto"/>
        <w:left w:val="none" w:sz="0" w:space="0" w:color="auto"/>
        <w:bottom w:val="none" w:sz="0" w:space="0" w:color="auto"/>
        <w:right w:val="none" w:sz="0" w:space="0" w:color="auto"/>
      </w:divBdr>
    </w:div>
    <w:div w:id="1627740763">
      <w:bodyDiv w:val="1"/>
      <w:marLeft w:val="0"/>
      <w:marRight w:val="0"/>
      <w:marTop w:val="0"/>
      <w:marBottom w:val="0"/>
      <w:divBdr>
        <w:top w:val="none" w:sz="0" w:space="0" w:color="auto"/>
        <w:left w:val="none" w:sz="0" w:space="0" w:color="auto"/>
        <w:bottom w:val="none" w:sz="0" w:space="0" w:color="auto"/>
        <w:right w:val="none" w:sz="0" w:space="0" w:color="auto"/>
      </w:divBdr>
    </w:div>
    <w:div w:id="1632898433">
      <w:bodyDiv w:val="1"/>
      <w:marLeft w:val="0"/>
      <w:marRight w:val="0"/>
      <w:marTop w:val="0"/>
      <w:marBottom w:val="0"/>
      <w:divBdr>
        <w:top w:val="none" w:sz="0" w:space="0" w:color="auto"/>
        <w:left w:val="none" w:sz="0" w:space="0" w:color="auto"/>
        <w:bottom w:val="none" w:sz="0" w:space="0" w:color="auto"/>
        <w:right w:val="none" w:sz="0" w:space="0" w:color="auto"/>
      </w:divBdr>
      <w:divsChild>
        <w:div w:id="266542471">
          <w:marLeft w:val="360"/>
          <w:marRight w:val="0"/>
          <w:marTop w:val="360"/>
          <w:marBottom w:val="120"/>
          <w:divBdr>
            <w:top w:val="none" w:sz="0" w:space="0" w:color="auto"/>
            <w:left w:val="none" w:sz="0" w:space="0" w:color="auto"/>
            <w:bottom w:val="none" w:sz="0" w:space="0" w:color="auto"/>
            <w:right w:val="none" w:sz="0" w:space="0" w:color="auto"/>
          </w:divBdr>
        </w:div>
      </w:divsChild>
    </w:div>
    <w:div w:id="1700930542">
      <w:bodyDiv w:val="1"/>
      <w:marLeft w:val="0"/>
      <w:marRight w:val="0"/>
      <w:marTop w:val="0"/>
      <w:marBottom w:val="0"/>
      <w:divBdr>
        <w:top w:val="none" w:sz="0" w:space="0" w:color="auto"/>
        <w:left w:val="none" w:sz="0" w:space="0" w:color="auto"/>
        <w:bottom w:val="none" w:sz="0" w:space="0" w:color="auto"/>
        <w:right w:val="none" w:sz="0" w:space="0" w:color="auto"/>
      </w:divBdr>
    </w:div>
    <w:div w:id="1742214292">
      <w:bodyDiv w:val="1"/>
      <w:marLeft w:val="0"/>
      <w:marRight w:val="0"/>
      <w:marTop w:val="0"/>
      <w:marBottom w:val="0"/>
      <w:divBdr>
        <w:top w:val="none" w:sz="0" w:space="0" w:color="auto"/>
        <w:left w:val="none" w:sz="0" w:space="0" w:color="auto"/>
        <w:bottom w:val="none" w:sz="0" w:space="0" w:color="auto"/>
        <w:right w:val="none" w:sz="0" w:space="0" w:color="auto"/>
      </w:divBdr>
      <w:divsChild>
        <w:div w:id="1016542935">
          <w:marLeft w:val="0"/>
          <w:marRight w:val="0"/>
          <w:marTop w:val="0"/>
          <w:marBottom w:val="0"/>
          <w:divBdr>
            <w:top w:val="none" w:sz="0" w:space="0" w:color="auto"/>
            <w:left w:val="none" w:sz="0" w:space="0" w:color="auto"/>
            <w:bottom w:val="none" w:sz="0" w:space="0" w:color="auto"/>
            <w:right w:val="none" w:sz="0" w:space="0" w:color="auto"/>
          </w:divBdr>
          <w:divsChild>
            <w:div w:id="158473043">
              <w:marLeft w:val="0"/>
              <w:marRight w:val="0"/>
              <w:marTop w:val="0"/>
              <w:marBottom w:val="75"/>
              <w:divBdr>
                <w:top w:val="none" w:sz="0" w:space="0" w:color="auto"/>
                <w:left w:val="none" w:sz="0" w:space="0" w:color="auto"/>
                <w:bottom w:val="none" w:sz="0" w:space="0" w:color="auto"/>
                <w:right w:val="none" w:sz="0" w:space="0" w:color="auto"/>
              </w:divBdr>
            </w:div>
          </w:divsChild>
        </w:div>
        <w:div w:id="1912421580">
          <w:marLeft w:val="-225"/>
          <w:marRight w:val="-225"/>
          <w:marTop w:val="0"/>
          <w:marBottom w:val="0"/>
          <w:divBdr>
            <w:top w:val="none" w:sz="0" w:space="0" w:color="auto"/>
            <w:left w:val="none" w:sz="0" w:space="0" w:color="auto"/>
            <w:bottom w:val="none" w:sz="0" w:space="0" w:color="auto"/>
            <w:right w:val="none" w:sz="0" w:space="0" w:color="auto"/>
          </w:divBdr>
        </w:div>
      </w:divsChild>
    </w:div>
    <w:div w:id="1797679832">
      <w:bodyDiv w:val="1"/>
      <w:marLeft w:val="0"/>
      <w:marRight w:val="0"/>
      <w:marTop w:val="0"/>
      <w:marBottom w:val="0"/>
      <w:divBdr>
        <w:top w:val="none" w:sz="0" w:space="0" w:color="auto"/>
        <w:left w:val="none" w:sz="0" w:space="0" w:color="auto"/>
        <w:bottom w:val="none" w:sz="0" w:space="0" w:color="auto"/>
        <w:right w:val="none" w:sz="0" w:space="0" w:color="auto"/>
      </w:divBdr>
    </w:div>
    <w:div w:id="1841265716">
      <w:bodyDiv w:val="1"/>
      <w:marLeft w:val="0"/>
      <w:marRight w:val="0"/>
      <w:marTop w:val="0"/>
      <w:marBottom w:val="0"/>
      <w:divBdr>
        <w:top w:val="none" w:sz="0" w:space="0" w:color="auto"/>
        <w:left w:val="none" w:sz="0" w:space="0" w:color="auto"/>
        <w:bottom w:val="none" w:sz="0" w:space="0" w:color="auto"/>
        <w:right w:val="none" w:sz="0" w:space="0" w:color="auto"/>
      </w:divBdr>
    </w:div>
    <w:div w:id="1860074547">
      <w:bodyDiv w:val="1"/>
      <w:marLeft w:val="0"/>
      <w:marRight w:val="0"/>
      <w:marTop w:val="0"/>
      <w:marBottom w:val="0"/>
      <w:divBdr>
        <w:top w:val="none" w:sz="0" w:space="0" w:color="auto"/>
        <w:left w:val="none" w:sz="0" w:space="0" w:color="auto"/>
        <w:bottom w:val="none" w:sz="0" w:space="0" w:color="auto"/>
        <w:right w:val="none" w:sz="0" w:space="0" w:color="auto"/>
      </w:divBdr>
    </w:div>
    <w:div w:id="1934851157">
      <w:bodyDiv w:val="1"/>
      <w:marLeft w:val="0"/>
      <w:marRight w:val="0"/>
      <w:marTop w:val="0"/>
      <w:marBottom w:val="0"/>
      <w:divBdr>
        <w:top w:val="none" w:sz="0" w:space="0" w:color="auto"/>
        <w:left w:val="none" w:sz="0" w:space="0" w:color="auto"/>
        <w:bottom w:val="none" w:sz="0" w:space="0" w:color="auto"/>
        <w:right w:val="none" w:sz="0" w:space="0" w:color="auto"/>
      </w:divBdr>
    </w:div>
    <w:div w:id="1945066818">
      <w:bodyDiv w:val="1"/>
      <w:marLeft w:val="0"/>
      <w:marRight w:val="0"/>
      <w:marTop w:val="0"/>
      <w:marBottom w:val="0"/>
      <w:divBdr>
        <w:top w:val="none" w:sz="0" w:space="0" w:color="auto"/>
        <w:left w:val="none" w:sz="0" w:space="0" w:color="auto"/>
        <w:bottom w:val="none" w:sz="0" w:space="0" w:color="auto"/>
        <w:right w:val="none" w:sz="0" w:space="0" w:color="auto"/>
      </w:divBdr>
    </w:div>
    <w:div w:id="1992175868">
      <w:bodyDiv w:val="1"/>
      <w:marLeft w:val="0"/>
      <w:marRight w:val="0"/>
      <w:marTop w:val="0"/>
      <w:marBottom w:val="0"/>
      <w:divBdr>
        <w:top w:val="none" w:sz="0" w:space="0" w:color="auto"/>
        <w:left w:val="none" w:sz="0" w:space="0" w:color="auto"/>
        <w:bottom w:val="none" w:sz="0" w:space="0" w:color="auto"/>
        <w:right w:val="none" w:sz="0" w:space="0" w:color="auto"/>
      </w:divBdr>
    </w:div>
    <w:div w:id="20262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ff.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www.msci.com/gics" TargetMode="External"/><Relationship Id="rId2" Type="http://schemas.openxmlformats.org/officeDocument/2006/relationships/hyperlink" Target="https://www.ftserussell.com/data/industry-classification-benchmark-icb"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10" ma:contentTypeDescription="Create a new document." ma:contentTypeScope="" ma:versionID="3b21188c1e3e11c5dca96b48e10ad1ba">
  <xsd:schema xmlns:xsd="http://www.w3.org/2001/XMLSchema" xmlns:xs="http://www.w3.org/2001/XMLSchema" xmlns:p="http://schemas.microsoft.com/office/2006/metadata/properties" xmlns:ns2="c66b2575-1ee8-487c-9ee4-d2db9c595b79" targetNamespace="http://schemas.microsoft.com/office/2006/metadata/properties" ma:root="true" ma:fieldsID="9816de86c123bea21eafdf2c0547dd31" ns2:_="">
    <xsd:import namespace="c66b2575-1ee8-487c-9ee4-d2db9c595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BAE8-AA93-4FDF-87CB-55CDE370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50872-79C0-4FE7-837E-39F405293819}">
  <ds:schemaRefs>
    <ds:schemaRef ds:uri="http://schemas.microsoft.com/sharepoint/v3/contenttype/forms"/>
  </ds:schemaRefs>
</ds:datastoreItem>
</file>

<file path=customXml/itemProps3.xml><?xml version="1.0" encoding="utf-8"?>
<ds:datastoreItem xmlns:ds="http://schemas.openxmlformats.org/officeDocument/2006/customXml" ds:itemID="{0D22209A-A953-42A2-9120-BE93E5A3C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DC5C1-874A-42BC-BC4D-5A2351AD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11152</Words>
  <Characters>63570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Cleary</dc:creator>
  <cp:keywords/>
  <dc:description/>
  <cp:lastModifiedBy>Потребител на Windows</cp:lastModifiedBy>
  <cp:revision>3</cp:revision>
  <cp:lastPrinted>2020-10-12T12:09:00Z</cp:lastPrinted>
  <dcterms:created xsi:type="dcterms:W3CDTF">2021-04-06T16:28:00Z</dcterms:created>
  <dcterms:modified xsi:type="dcterms:W3CDTF">2021-04-06T16:31:00Z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0x0101009AC92C0B80F7C14BAC9FB27FAE268A17</vt:lpwstr>
  </property>
</Properties>
</file>